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4B" w:rsidRPr="004804FF" w:rsidRDefault="00996CB4" w:rsidP="004804FF">
      <w:pPr>
        <w:jc w:val="center"/>
        <w:rPr>
          <w:rFonts w:ascii="Times New Roman" w:hAnsi="Times New Roman" w:cs="Times New Roman"/>
          <w:b/>
          <w:sz w:val="28"/>
          <w:szCs w:val="28"/>
        </w:rPr>
      </w:pPr>
      <w:bookmarkStart w:id="0" w:name="_Hlk123917127"/>
      <w:bookmarkEnd w:id="0"/>
      <w:r>
        <w:rPr>
          <w:rFonts w:ascii="Times New Roman" w:hAnsi="Times New Roman" w:cs="Times New Roman"/>
          <w:b/>
          <w:sz w:val="28"/>
          <w:szCs w:val="28"/>
        </w:rPr>
        <w:t xml:space="preserve"> </w:t>
      </w:r>
      <w:r w:rsidR="00EB45CA">
        <w:rPr>
          <w:rFonts w:ascii="Times New Roman" w:hAnsi="Times New Roman" w:cs="Times New Roman"/>
          <w:b/>
          <w:sz w:val="28"/>
          <w:szCs w:val="28"/>
        </w:rPr>
        <w:t>Srovnání</w:t>
      </w:r>
      <w:r w:rsidR="00514368" w:rsidRPr="004804FF">
        <w:rPr>
          <w:rFonts w:ascii="Times New Roman" w:hAnsi="Times New Roman" w:cs="Times New Roman"/>
          <w:b/>
          <w:sz w:val="28"/>
          <w:szCs w:val="28"/>
        </w:rPr>
        <w:t xml:space="preserve"> vývoje</w:t>
      </w:r>
      <w:r w:rsidR="00EB45CA">
        <w:rPr>
          <w:rFonts w:ascii="Times New Roman" w:hAnsi="Times New Roman" w:cs="Times New Roman"/>
          <w:b/>
          <w:sz w:val="28"/>
          <w:szCs w:val="28"/>
        </w:rPr>
        <w:t xml:space="preserve"> cen a determinantů cen na realitních trzích</w:t>
      </w:r>
      <w:r w:rsidR="00514368" w:rsidRPr="004804FF">
        <w:rPr>
          <w:rFonts w:ascii="Times New Roman" w:hAnsi="Times New Roman" w:cs="Times New Roman"/>
          <w:b/>
          <w:sz w:val="28"/>
          <w:szCs w:val="28"/>
        </w:rPr>
        <w:t xml:space="preserve"> zemí V4</w:t>
      </w:r>
    </w:p>
    <w:p w:rsidR="00514368" w:rsidRPr="00DE18E5" w:rsidRDefault="00F1562C" w:rsidP="004E1FDD">
      <w:pPr>
        <w:jc w:val="center"/>
        <w:rPr>
          <w:rFonts w:ascii="Times New Roman" w:hAnsi="Times New Roman" w:cs="Times New Roman"/>
          <w:sz w:val="24"/>
          <w:szCs w:val="24"/>
        </w:rPr>
      </w:pPr>
      <w:r w:rsidRPr="00DE18E5">
        <w:rPr>
          <w:rFonts w:ascii="Times New Roman" w:hAnsi="Times New Roman" w:cs="Times New Roman"/>
          <w:sz w:val="24"/>
          <w:szCs w:val="24"/>
        </w:rPr>
        <w:t>JIŘÍ UHMAN</w:t>
      </w:r>
    </w:p>
    <w:p w:rsidR="00772959" w:rsidRDefault="00772959" w:rsidP="00DE18E5">
      <w:pPr>
        <w:spacing w:line="360" w:lineRule="auto"/>
        <w:rPr>
          <w:rFonts w:ascii="Times New Roman" w:hAnsi="Times New Roman" w:cs="Times New Roman"/>
          <w:b/>
          <w:sz w:val="24"/>
          <w:szCs w:val="24"/>
        </w:rPr>
      </w:pPr>
    </w:p>
    <w:p w:rsidR="00514368" w:rsidRPr="00A31974" w:rsidRDefault="00514368" w:rsidP="00DE18E5">
      <w:pPr>
        <w:spacing w:line="360" w:lineRule="auto"/>
        <w:rPr>
          <w:rFonts w:ascii="Times New Roman" w:hAnsi="Times New Roman" w:cs="Times New Roman"/>
          <w:b/>
          <w:sz w:val="24"/>
          <w:szCs w:val="24"/>
        </w:rPr>
      </w:pPr>
      <w:r w:rsidRPr="00A31974">
        <w:rPr>
          <w:rFonts w:ascii="Times New Roman" w:hAnsi="Times New Roman" w:cs="Times New Roman"/>
          <w:b/>
          <w:sz w:val="24"/>
          <w:szCs w:val="24"/>
        </w:rPr>
        <w:t>Abstrakt</w:t>
      </w:r>
    </w:p>
    <w:p w:rsidR="00095F8D" w:rsidRPr="004804FF" w:rsidRDefault="00514368" w:rsidP="00FC3D2F">
      <w:pPr>
        <w:spacing w:line="360" w:lineRule="auto"/>
        <w:jc w:val="both"/>
        <w:rPr>
          <w:rFonts w:ascii="Times New Roman" w:hAnsi="Times New Roman" w:cs="Times New Roman"/>
          <w:sz w:val="24"/>
          <w:szCs w:val="24"/>
        </w:rPr>
      </w:pPr>
      <w:r w:rsidRPr="004804FF">
        <w:rPr>
          <w:rFonts w:ascii="Times New Roman" w:hAnsi="Times New Roman" w:cs="Times New Roman"/>
          <w:sz w:val="24"/>
          <w:szCs w:val="24"/>
        </w:rPr>
        <w:t xml:space="preserve">Článek </w:t>
      </w:r>
      <w:r w:rsidR="00EB45CA">
        <w:rPr>
          <w:rFonts w:ascii="Times New Roman" w:hAnsi="Times New Roman" w:cs="Times New Roman"/>
          <w:sz w:val="24"/>
          <w:szCs w:val="24"/>
        </w:rPr>
        <w:t xml:space="preserve">srovnává a </w:t>
      </w:r>
      <w:r w:rsidRPr="004804FF">
        <w:rPr>
          <w:rFonts w:ascii="Times New Roman" w:hAnsi="Times New Roman" w:cs="Times New Roman"/>
          <w:sz w:val="24"/>
          <w:szCs w:val="24"/>
        </w:rPr>
        <w:t xml:space="preserve">hodnotí vývoj </w:t>
      </w:r>
      <w:r w:rsidR="00EB45CA">
        <w:rPr>
          <w:rFonts w:ascii="Times New Roman" w:hAnsi="Times New Roman" w:cs="Times New Roman"/>
          <w:sz w:val="24"/>
          <w:szCs w:val="24"/>
        </w:rPr>
        <w:t>cen a signifikantních faktorů determinujících jejich vývoj na realitním trhu</w:t>
      </w:r>
      <w:r w:rsidRPr="004804FF">
        <w:rPr>
          <w:rFonts w:ascii="Times New Roman" w:hAnsi="Times New Roman" w:cs="Times New Roman"/>
          <w:sz w:val="24"/>
          <w:szCs w:val="24"/>
        </w:rPr>
        <w:t xml:space="preserve"> v Česku, Slovensku, Polsku a Maďarsku po roce 2000, tedy zemí </w:t>
      </w:r>
      <w:r w:rsidR="00095F8D" w:rsidRPr="004804FF">
        <w:rPr>
          <w:rFonts w:ascii="Times New Roman" w:hAnsi="Times New Roman" w:cs="Times New Roman"/>
          <w:sz w:val="24"/>
          <w:szCs w:val="24"/>
        </w:rPr>
        <w:t xml:space="preserve">sdružených do politického uskupení </w:t>
      </w:r>
      <w:r w:rsidRPr="004804FF">
        <w:rPr>
          <w:rFonts w:ascii="Times New Roman" w:hAnsi="Times New Roman" w:cs="Times New Roman"/>
          <w:sz w:val="24"/>
          <w:szCs w:val="24"/>
        </w:rPr>
        <w:t>V4. Na všech těchto trzích jde o</w:t>
      </w:r>
      <w:r w:rsidR="00095F8D" w:rsidRPr="004804FF">
        <w:rPr>
          <w:rFonts w:ascii="Times New Roman" w:hAnsi="Times New Roman" w:cs="Times New Roman"/>
          <w:sz w:val="24"/>
          <w:szCs w:val="24"/>
        </w:rPr>
        <w:t xml:space="preserve"> hodnocení</w:t>
      </w:r>
      <w:r w:rsidR="00EB45CA">
        <w:rPr>
          <w:rFonts w:ascii="Times New Roman" w:hAnsi="Times New Roman" w:cs="Times New Roman"/>
          <w:sz w:val="24"/>
          <w:szCs w:val="24"/>
        </w:rPr>
        <w:t xml:space="preserve"> po roce 2000, tedy</w:t>
      </w:r>
      <w:r w:rsidRPr="004804FF">
        <w:rPr>
          <w:rFonts w:ascii="Times New Roman" w:hAnsi="Times New Roman" w:cs="Times New Roman"/>
          <w:sz w:val="24"/>
          <w:szCs w:val="24"/>
        </w:rPr>
        <w:t xml:space="preserve"> </w:t>
      </w:r>
      <w:r w:rsidR="00095F8D" w:rsidRPr="004804FF">
        <w:rPr>
          <w:rFonts w:ascii="Times New Roman" w:hAnsi="Times New Roman" w:cs="Times New Roman"/>
          <w:sz w:val="24"/>
          <w:szCs w:val="24"/>
        </w:rPr>
        <w:t xml:space="preserve">v </w:t>
      </w:r>
      <w:r w:rsidRPr="004804FF">
        <w:rPr>
          <w:rFonts w:ascii="Times New Roman" w:hAnsi="Times New Roman" w:cs="Times New Roman"/>
          <w:sz w:val="24"/>
          <w:szCs w:val="24"/>
        </w:rPr>
        <w:t xml:space="preserve">období po konsolidaci </w:t>
      </w:r>
      <w:r w:rsidR="00095F8D" w:rsidRPr="004804FF">
        <w:rPr>
          <w:rFonts w:ascii="Times New Roman" w:hAnsi="Times New Roman" w:cs="Times New Roman"/>
          <w:sz w:val="24"/>
          <w:szCs w:val="24"/>
        </w:rPr>
        <w:t xml:space="preserve">jejich </w:t>
      </w:r>
      <w:r w:rsidRPr="004804FF">
        <w:rPr>
          <w:rFonts w:ascii="Times New Roman" w:hAnsi="Times New Roman" w:cs="Times New Roman"/>
          <w:sz w:val="24"/>
          <w:szCs w:val="24"/>
        </w:rPr>
        <w:t xml:space="preserve">bytových fondů stran vlastnictví. </w:t>
      </w:r>
    </w:p>
    <w:p w:rsidR="00514368" w:rsidRDefault="00B80819" w:rsidP="00FC3D2F">
      <w:pPr>
        <w:spacing w:line="360" w:lineRule="auto"/>
        <w:jc w:val="both"/>
        <w:rPr>
          <w:rFonts w:ascii="Times New Roman" w:hAnsi="Times New Roman" w:cs="Times New Roman"/>
          <w:sz w:val="24"/>
          <w:szCs w:val="24"/>
        </w:rPr>
      </w:pPr>
      <w:r>
        <w:rPr>
          <w:rFonts w:ascii="Times New Roman" w:hAnsi="Times New Roman" w:cs="Times New Roman"/>
          <w:sz w:val="24"/>
          <w:szCs w:val="24"/>
        </w:rPr>
        <w:t>Dá se usuzovat, že v</w:t>
      </w:r>
      <w:r w:rsidR="00514368" w:rsidRPr="004804FF">
        <w:rPr>
          <w:rFonts w:ascii="Times New Roman" w:hAnsi="Times New Roman" w:cs="Times New Roman"/>
          <w:sz w:val="24"/>
          <w:szCs w:val="24"/>
        </w:rPr>
        <w:t>šechny</w:t>
      </w:r>
      <w:r w:rsidR="00095F8D" w:rsidRPr="004804FF">
        <w:rPr>
          <w:rFonts w:ascii="Times New Roman" w:hAnsi="Times New Roman" w:cs="Times New Roman"/>
          <w:sz w:val="24"/>
          <w:szCs w:val="24"/>
        </w:rPr>
        <w:t xml:space="preserve"> hodnocené</w:t>
      </w:r>
      <w:r w:rsidR="00514368" w:rsidRPr="004804FF">
        <w:rPr>
          <w:rFonts w:ascii="Times New Roman" w:hAnsi="Times New Roman" w:cs="Times New Roman"/>
          <w:sz w:val="24"/>
          <w:szCs w:val="24"/>
        </w:rPr>
        <w:t xml:space="preserve"> </w:t>
      </w:r>
      <w:r w:rsidR="00095F8D" w:rsidRPr="004804FF">
        <w:rPr>
          <w:rFonts w:ascii="Times New Roman" w:hAnsi="Times New Roman" w:cs="Times New Roman"/>
          <w:sz w:val="24"/>
          <w:szCs w:val="24"/>
        </w:rPr>
        <w:t xml:space="preserve">realitní </w:t>
      </w:r>
      <w:r>
        <w:rPr>
          <w:rFonts w:ascii="Times New Roman" w:hAnsi="Times New Roman" w:cs="Times New Roman"/>
          <w:sz w:val="24"/>
          <w:szCs w:val="24"/>
        </w:rPr>
        <w:t>trhy procházely</w:t>
      </w:r>
      <w:r w:rsidR="00514368" w:rsidRPr="004804FF">
        <w:rPr>
          <w:rFonts w:ascii="Times New Roman" w:hAnsi="Times New Roman" w:cs="Times New Roman"/>
          <w:sz w:val="24"/>
          <w:szCs w:val="24"/>
        </w:rPr>
        <w:t xml:space="preserve"> </w:t>
      </w:r>
      <w:r w:rsidR="00095F8D" w:rsidRPr="004804FF">
        <w:rPr>
          <w:rFonts w:ascii="Times New Roman" w:hAnsi="Times New Roman" w:cs="Times New Roman"/>
          <w:sz w:val="24"/>
          <w:szCs w:val="24"/>
        </w:rPr>
        <w:t>velmi po</w:t>
      </w:r>
      <w:r w:rsidR="00514368" w:rsidRPr="004804FF">
        <w:rPr>
          <w:rFonts w:ascii="Times New Roman" w:hAnsi="Times New Roman" w:cs="Times New Roman"/>
          <w:sz w:val="24"/>
          <w:szCs w:val="24"/>
        </w:rPr>
        <w:t>dobným v</w:t>
      </w:r>
      <w:r w:rsidR="00095F8D" w:rsidRPr="004804FF">
        <w:rPr>
          <w:rFonts w:ascii="Times New Roman" w:hAnsi="Times New Roman" w:cs="Times New Roman"/>
          <w:sz w:val="24"/>
          <w:szCs w:val="24"/>
        </w:rPr>
        <w:t xml:space="preserve">ývojem, neboť jejich </w:t>
      </w:r>
      <w:proofErr w:type="spellStart"/>
      <w:r w:rsidR="00095F8D" w:rsidRPr="004804FF">
        <w:rPr>
          <w:rFonts w:ascii="Times New Roman" w:hAnsi="Times New Roman" w:cs="Times New Roman"/>
          <w:sz w:val="24"/>
          <w:szCs w:val="24"/>
        </w:rPr>
        <w:t>ekonomicko</w:t>
      </w:r>
      <w:proofErr w:type="spellEnd"/>
      <w:r w:rsidR="00095F8D" w:rsidRPr="004804FF">
        <w:rPr>
          <w:rFonts w:ascii="Times New Roman" w:hAnsi="Times New Roman" w:cs="Times New Roman"/>
          <w:sz w:val="24"/>
          <w:szCs w:val="24"/>
        </w:rPr>
        <w:t xml:space="preserve"> - politické systémy prošly obdobím transformace</w:t>
      </w:r>
      <w:r w:rsidR="00514368" w:rsidRPr="004804FF">
        <w:rPr>
          <w:rFonts w:ascii="Times New Roman" w:hAnsi="Times New Roman" w:cs="Times New Roman"/>
          <w:sz w:val="24"/>
          <w:szCs w:val="24"/>
        </w:rPr>
        <w:t xml:space="preserve"> z centrálně </w:t>
      </w:r>
      <w:r w:rsidR="00095F8D" w:rsidRPr="004804FF">
        <w:rPr>
          <w:rFonts w:ascii="Times New Roman" w:hAnsi="Times New Roman" w:cs="Times New Roman"/>
          <w:sz w:val="24"/>
          <w:szCs w:val="24"/>
        </w:rPr>
        <w:t>plánovaného na tržní hos</w:t>
      </w:r>
      <w:r w:rsidR="00514368" w:rsidRPr="004804FF">
        <w:rPr>
          <w:rFonts w:ascii="Times New Roman" w:hAnsi="Times New Roman" w:cs="Times New Roman"/>
          <w:sz w:val="24"/>
          <w:szCs w:val="24"/>
        </w:rPr>
        <w:t>podářství</w:t>
      </w:r>
      <w:r w:rsidR="00095F8D" w:rsidRPr="004804FF">
        <w:rPr>
          <w:rFonts w:ascii="Times New Roman" w:hAnsi="Times New Roman" w:cs="Times New Roman"/>
          <w:sz w:val="24"/>
          <w:szCs w:val="24"/>
        </w:rPr>
        <w:t>, které přineslo též řadu podobných problémů, ale také zkušeností. Politický vývoj těchto zemí byl po roce 1989 utvářen na podobných základech a cílech, jejich ekonomiky musely čelit obdobným výzvá</w:t>
      </w:r>
      <w:r w:rsidR="004804FF" w:rsidRPr="004804FF">
        <w:rPr>
          <w:rFonts w:ascii="Times New Roman" w:hAnsi="Times New Roman" w:cs="Times New Roman"/>
          <w:sz w:val="24"/>
          <w:szCs w:val="24"/>
        </w:rPr>
        <w:t xml:space="preserve">m. </w:t>
      </w:r>
      <w:r w:rsidR="00095F8D" w:rsidRPr="004804FF">
        <w:rPr>
          <w:rFonts w:ascii="Times New Roman" w:hAnsi="Times New Roman" w:cs="Times New Roman"/>
          <w:sz w:val="24"/>
          <w:szCs w:val="24"/>
        </w:rPr>
        <w:t xml:space="preserve"> S výjimkou Polska jde </w:t>
      </w:r>
      <w:r w:rsidR="000350D4">
        <w:rPr>
          <w:rFonts w:ascii="Times New Roman" w:hAnsi="Times New Roman" w:cs="Times New Roman"/>
          <w:sz w:val="24"/>
          <w:szCs w:val="24"/>
        </w:rPr>
        <w:t>také o podobně velké</w:t>
      </w:r>
      <w:r w:rsidR="00095F8D" w:rsidRPr="004804FF">
        <w:rPr>
          <w:rFonts w:ascii="Times New Roman" w:hAnsi="Times New Roman" w:cs="Times New Roman"/>
          <w:sz w:val="24"/>
          <w:szCs w:val="24"/>
        </w:rPr>
        <w:t xml:space="preserve"> ekonomiky. Všechny </w:t>
      </w:r>
      <w:r w:rsidR="004804FF" w:rsidRPr="004804FF">
        <w:rPr>
          <w:rFonts w:ascii="Times New Roman" w:hAnsi="Times New Roman" w:cs="Times New Roman"/>
          <w:sz w:val="24"/>
          <w:szCs w:val="24"/>
        </w:rPr>
        <w:t xml:space="preserve">země </w:t>
      </w:r>
      <w:r w:rsidR="00095F8D" w:rsidRPr="004804FF">
        <w:rPr>
          <w:rFonts w:ascii="Times New Roman" w:hAnsi="Times New Roman" w:cs="Times New Roman"/>
          <w:sz w:val="24"/>
          <w:szCs w:val="24"/>
        </w:rPr>
        <w:t xml:space="preserve">jsou otevřené a do značné míry závislé na zahraničním obchodě a spolupráci. </w:t>
      </w:r>
      <w:r w:rsidR="004804FF">
        <w:rPr>
          <w:rFonts w:ascii="Times New Roman" w:hAnsi="Times New Roman" w:cs="Times New Roman"/>
          <w:sz w:val="24"/>
          <w:szCs w:val="24"/>
        </w:rPr>
        <w:t>J</w:t>
      </w:r>
      <w:r w:rsidR="004804FF" w:rsidRPr="004804FF">
        <w:rPr>
          <w:rFonts w:ascii="Times New Roman" w:hAnsi="Times New Roman" w:cs="Times New Roman"/>
          <w:sz w:val="24"/>
          <w:szCs w:val="24"/>
        </w:rPr>
        <w:t>ejich</w:t>
      </w:r>
      <w:r w:rsidR="004804FF">
        <w:rPr>
          <w:rFonts w:ascii="Times New Roman" w:hAnsi="Times New Roman" w:cs="Times New Roman"/>
          <w:sz w:val="24"/>
          <w:szCs w:val="24"/>
        </w:rPr>
        <w:t xml:space="preserve"> konečné</w:t>
      </w:r>
      <w:r w:rsidR="004804FF" w:rsidRPr="004804FF">
        <w:rPr>
          <w:rFonts w:ascii="Times New Roman" w:hAnsi="Times New Roman" w:cs="Times New Roman"/>
          <w:sz w:val="24"/>
          <w:szCs w:val="24"/>
        </w:rPr>
        <w:t xml:space="preserve"> ukotvení</w:t>
      </w:r>
      <w:r w:rsidR="004804FF">
        <w:rPr>
          <w:rFonts w:ascii="Times New Roman" w:hAnsi="Times New Roman" w:cs="Times New Roman"/>
          <w:sz w:val="24"/>
          <w:szCs w:val="24"/>
        </w:rPr>
        <w:t xml:space="preserve"> v Evropském prostoru</w:t>
      </w:r>
      <w:r w:rsidR="004804FF" w:rsidRPr="004804FF">
        <w:rPr>
          <w:rFonts w:ascii="Times New Roman" w:hAnsi="Times New Roman" w:cs="Times New Roman"/>
          <w:sz w:val="24"/>
          <w:szCs w:val="24"/>
        </w:rPr>
        <w:t xml:space="preserve"> pak přinesl společný vstup do Evropské unie a vytvoření poměrně úzké spolupráce na bázi </w:t>
      </w:r>
      <w:r w:rsidR="004804FF">
        <w:rPr>
          <w:rFonts w:ascii="Times New Roman" w:hAnsi="Times New Roman" w:cs="Times New Roman"/>
          <w:sz w:val="24"/>
          <w:szCs w:val="24"/>
        </w:rPr>
        <w:t xml:space="preserve">spolupráce zemí </w:t>
      </w:r>
      <w:r w:rsidR="004804FF" w:rsidRPr="004804FF">
        <w:rPr>
          <w:rFonts w:ascii="Times New Roman" w:hAnsi="Times New Roman" w:cs="Times New Roman"/>
          <w:sz w:val="24"/>
          <w:szCs w:val="24"/>
        </w:rPr>
        <w:t>V4.</w:t>
      </w:r>
    </w:p>
    <w:p w:rsidR="00457A7E" w:rsidRDefault="004804FF" w:rsidP="00FC3D2F">
      <w:pPr>
        <w:spacing w:line="360" w:lineRule="auto"/>
        <w:jc w:val="both"/>
        <w:rPr>
          <w:rFonts w:ascii="Times New Roman" w:hAnsi="Times New Roman" w:cs="Times New Roman"/>
          <w:sz w:val="24"/>
          <w:szCs w:val="24"/>
        </w:rPr>
      </w:pPr>
      <w:r>
        <w:rPr>
          <w:rFonts w:ascii="Times New Roman" w:hAnsi="Times New Roman" w:cs="Times New Roman"/>
          <w:sz w:val="24"/>
          <w:szCs w:val="24"/>
        </w:rPr>
        <w:t>Provedené srovnání ovšem naz</w:t>
      </w:r>
      <w:r w:rsidR="0064477C">
        <w:rPr>
          <w:rFonts w:ascii="Times New Roman" w:hAnsi="Times New Roman" w:cs="Times New Roman"/>
          <w:sz w:val="24"/>
          <w:szCs w:val="24"/>
        </w:rPr>
        <w:t>načuje, že lze vysledovat jisté</w:t>
      </w:r>
      <w:r>
        <w:rPr>
          <w:rFonts w:ascii="Times New Roman" w:hAnsi="Times New Roman" w:cs="Times New Roman"/>
          <w:sz w:val="24"/>
          <w:szCs w:val="24"/>
        </w:rPr>
        <w:t xml:space="preserve"> signifikantní rozdíly ve </w:t>
      </w:r>
      <w:r w:rsidR="00C775B6">
        <w:rPr>
          <w:rFonts w:ascii="Times New Roman" w:hAnsi="Times New Roman" w:cs="Times New Roman"/>
          <w:sz w:val="24"/>
          <w:szCs w:val="24"/>
        </w:rPr>
        <w:t>vývoji zkoumaných</w:t>
      </w:r>
      <w:r w:rsidR="004E1FDD">
        <w:rPr>
          <w:rFonts w:ascii="Times New Roman" w:hAnsi="Times New Roman" w:cs="Times New Roman"/>
          <w:sz w:val="24"/>
          <w:szCs w:val="24"/>
        </w:rPr>
        <w:t xml:space="preserve"> pa</w:t>
      </w:r>
      <w:r w:rsidR="00C775B6">
        <w:rPr>
          <w:rFonts w:ascii="Times New Roman" w:hAnsi="Times New Roman" w:cs="Times New Roman"/>
          <w:sz w:val="24"/>
          <w:szCs w:val="24"/>
        </w:rPr>
        <w:t>rametrů</w:t>
      </w:r>
      <w:r w:rsidR="004E1FDD">
        <w:rPr>
          <w:rFonts w:ascii="Times New Roman" w:hAnsi="Times New Roman" w:cs="Times New Roman"/>
          <w:sz w:val="24"/>
          <w:szCs w:val="24"/>
        </w:rPr>
        <w:t xml:space="preserve"> determinujících</w:t>
      </w:r>
      <w:r>
        <w:rPr>
          <w:rFonts w:ascii="Times New Roman" w:hAnsi="Times New Roman" w:cs="Times New Roman"/>
          <w:sz w:val="24"/>
          <w:szCs w:val="24"/>
        </w:rPr>
        <w:t xml:space="preserve"> vývoj a s</w:t>
      </w:r>
      <w:r w:rsidR="004E1FDD">
        <w:rPr>
          <w:rFonts w:ascii="Times New Roman" w:hAnsi="Times New Roman" w:cs="Times New Roman"/>
          <w:sz w:val="24"/>
          <w:szCs w:val="24"/>
        </w:rPr>
        <w:t>tav realitních trhů</w:t>
      </w:r>
      <w:r w:rsidR="00C775B6">
        <w:rPr>
          <w:rFonts w:ascii="Times New Roman" w:hAnsi="Times New Roman" w:cs="Times New Roman"/>
          <w:sz w:val="24"/>
          <w:szCs w:val="24"/>
        </w:rPr>
        <w:t>. Jejich příčinou mohou být, mimo jiné,</w:t>
      </w:r>
      <w:r w:rsidR="004E1FDD">
        <w:rPr>
          <w:rFonts w:ascii="Times New Roman" w:hAnsi="Times New Roman" w:cs="Times New Roman"/>
          <w:sz w:val="24"/>
          <w:szCs w:val="24"/>
        </w:rPr>
        <w:t xml:space="preserve"> různé pohledy a přístupy k řešení bytové problematiky ovlivněné politickým vývojem v jednotlivých zemích.  </w:t>
      </w:r>
    </w:p>
    <w:p w:rsidR="00514368" w:rsidRDefault="00457A7E" w:rsidP="00457A7E">
      <w:pPr>
        <w:spacing w:line="360" w:lineRule="auto"/>
        <w:jc w:val="both"/>
        <w:rPr>
          <w:rFonts w:ascii="Times New Roman" w:hAnsi="Times New Roman" w:cs="Times New Roman"/>
          <w:sz w:val="24"/>
          <w:szCs w:val="24"/>
        </w:rPr>
      </w:pPr>
      <w:r w:rsidRPr="00457A7E">
        <w:rPr>
          <w:rFonts w:ascii="Times New Roman" w:hAnsi="Times New Roman" w:cs="Times New Roman"/>
          <w:sz w:val="24"/>
          <w:szCs w:val="24"/>
        </w:rPr>
        <w:t>Vznik článku byl podpořen v rámci Studentské grantové soutěže UJEP, číslo projektu: UJEP-SGS-2022-45-005-2, název projektu:</w:t>
      </w:r>
      <w:r w:rsidR="004E1FDD" w:rsidRPr="00457A7E">
        <w:rPr>
          <w:rFonts w:ascii="Times New Roman" w:hAnsi="Times New Roman" w:cs="Times New Roman"/>
          <w:sz w:val="24"/>
          <w:szCs w:val="24"/>
        </w:rPr>
        <w:t xml:space="preserve"> </w:t>
      </w:r>
      <w:r w:rsidRPr="00457A7E">
        <w:rPr>
          <w:rFonts w:ascii="Times New Roman" w:hAnsi="Times New Roman" w:cs="Times New Roman"/>
          <w:sz w:val="24"/>
          <w:szCs w:val="24"/>
        </w:rPr>
        <w:t>Komparace systémů podpory bydlení v zemích V4</w:t>
      </w:r>
      <w:r>
        <w:rPr>
          <w:rFonts w:ascii="Times New Roman" w:hAnsi="Times New Roman" w:cs="Times New Roman"/>
          <w:sz w:val="24"/>
          <w:szCs w:val="24"/>
        </w:rPr>
        <w:t>.</w:t>
      </w:r>
      <w:r w:rsidR="004804FF" w:rsidRPr="00457A7E">
        <w:rPr>
          <w:rFonts w:ascii="Times New Roman" w:hAnsi="Times New Roman" w:cs="Times New Roman"/>
          <w:sz w:val="24"/>
          <w:szCs w:val="24"/>
        </w:rPr>
        <w:t xml:space="preserve">  </w:t>
      </w:r>
    </w:p>
    <w:p w:rsidR="00DE18E5" w:rsidRDefault="00DE18E5" w:rsidP="00457A7E">
      <w:pPr>
        <w:spacing w:line="360" w:lineRule="auto"/>
        <w:jc w:val="both"/>
        <w:rPr>
          <w:rFonts w:ascii="Times New Roman" w:hAnsi="Times New Roman" w:cs="Times New Roman"/>
          <w:sz w:val="24"/>
          <w:szCs w:val="24"/>
        </w:rPr>
      </w:pPr>
      <w:r w:rsidRPr="00DE18E5">
        <w:rPr>
          <w:rFonts w:ascii="Times New Roman" w:hAnsi="Times New Roman" w:cs="Times New Roman"/>
          <w:b/>
          <w:sz w:val="24"/>
          <w:szCs w:val="24"/>
        </w:rPr>
        <w:t>Klíčová slova:</w:t>
      </w:r>
      <w:r>
        <w:rPr>
          <w:rFonts w:ascii="Times New Roman" w:hAnsi="Times New Roman" w:cs="Times New Roman"/>
          <w:b/>
          <w:sz w:val="24"/>
          <w:szCs w:val="24"/>
        </w:rPr>
        <w:t xml:space="preserve"> </w:t>
      </w:r>
      <w:r>
        <w:rPr>
          <w:rFonts w:ascii="Times New Roman" w:hAnsi="Times New Roman" w:cs="Times New Roman"/>
          <w:sz w:val="24"/>
          <w:szCs w:val="24"/>
        </w:rPr>
        <w:t>Realitní trh, byt, ukazatele, HDP, inflace, populace, bytová výstavba</w:t>
      </w:r>
    </w:p>
    <w:p w:rsidR="00DE18E5" w:rsidRPr="00DE18E5" w:rsidRDefault="00DE18E5" w:rsidP="00457A7E">
      <w:pPr>
        <w:spacing w:line="360" w:lineRule="auto"/>
        <w:jc w:val="both"/>
        <w:rPr>
          <w:rFonts w:ascii="Times New Roman" w:hAnsi="Times New Roman" w:cs="Times New Roman"/>
          <w:b/>
          <w:sz w:val="24"/>
          <w:szCs w:val="24"/>
        </w:rPr>
      </w:pPr>
      <w:proofErr w:type="gramStart"/>
      <w:r w:rsidRPr="00DE18E5">
        <w:rPr>
          <w:rFonts w:ascii="Times New Roman" w:hAnsi="Times New Roman" w:cs="Times New Roman"/>
          <w:b/>
          <w:sz w:val="24"/>
          <w:szCs w:val="24"/>
        </w:rPr>
        <w:t>JEL</w:t>
      </w:r>
      <w:proofErr w:type="gramEnd"/>
      <w:r w:rsidRPr="00DE18E5">
        <w:rPr>
          <w:rFonts w:ascii="Times New Roman" w:hAnsi="Times New Roman" w:cs="Times New Roman"/>
          <w:b/>
          <w:sz w:val="24"/>
          <w:szCs w:val="24"/>
        </w:rPr>
        <w:t xml:space="preserve"> klasifikace: </w:t>
      </w:r>
      <w:r w:rsidRPr="00F00A9A">
        <w:rPr>
          <w:rFonts w:ascii="Times New Roman" w:hAnsi="Times New Roman" w:cs="Times New Roman"/>
          <w:sz w:val="24"/>
          <w:szCs w:val="24"/>
        </w:rPr>
        <w:t xml:space="preserve">D49, </w:t>
      </w:r>
      <w:r w:rsidR="00F00A9A" w:rsidRPr="00F00A9A">
        <w:rPr>
          <w:rFonts w:ascii="Times New Roman" w:hAnsi="Times New Roman" w:cs="Times New Roman"/>
          <w:sz w:val="24"/>
          <w:szCs w:val="24"/>
        </w:rPr>
        <w:t>G12, 011, R3</w:t>
      </w:r>
    </w:p>
    <w:p w:rsidR="00772959" w:rsidRDefault="00772959" w:rsidP="00FC3D2F">
      <w:pPr>
        <w:spacing w:line="360" w:lineRule="auto"/>
        <w:rPr>
          <w:rFonts w:ascii="Times New Roman" w:hAnsi="Times New Roman" w:cs="Times New Roman"/>
          <w:b/>
          <w:sz w:val="28"/>
          <w:szCs w:val="28"/>
        </w:rPr>
      </w:pPr>
    </w:p>
    <w:p w:rsidR="00772959" w:rsidRDefault="00772959" w:rsidP="00FC3D2F">
      <w:pPr>
        <w:spacing w:line="360" w:lineRule="auto"/>
        <w:rPr>
          <w:rFonts w:ascii="Times New Roman" w:hAnsi="Times New Roman" w:cs="Times New Roman"/>
          <w:b/>
          <w:sz w:val="28"/>
          <w:szCs w:val="28"/>
        </w:rPr>
      </w:pPr>
    </w:p>
    <w:p w:rsidR="00772959" w:rsidRDefault="00772959" w:rsidP="00FC3D2F">
      <w:pPr>
        <w:spacing w:line="360" w:lineRule="auto"/>
        <w:rPr>
          <w:rFonts w:ascii="Times New Roman" w:hAnsi="Times New Roman" w:cs="Times New Roman"/>
          <w:b/>
          <w:sz w:val="28"/>
          <w:szCs w:val="28"/>
        </w:rPr>
      </w:pPr>
    </w:p>
    <w:p w:rsidR="00514368" w:rsidRPr="004804FF" w:rsidRDefault="004804FF" w:rsidP="00FC3D2F">
      <w:pPr>
        <w:spacing w:line="360" w:lineRule="auto"/>
        <w:rPr>
          <w:rFonts w:ascii="Times New Roman" w:hAnsi="Times New Roman" w:cs="Times New Roman"/>
          <w:b/>
          <w:sz w:val="28"/>
          <w:szCs w:val="28"/>
        </w:rPr>
      </w:pPr>
      <w:r w:rsidRPr="004804FF">
        <w:rPr>
          <w:rFonts w:ascii="Times New Roman" w:hAnsi="Times New Roman" w:cs="Times New Roman"/>
          <w:b/>
          <w:sz w:val="28"/>
          <w:szCs w:val="28"/>
        </w:rPr>
        <w:lastRenderedPageBreak/>
        <w:t>Úvod</w:t>
      </w:r>
      <w:r w:rsidR="00772959">
        <w:rPr>
          <w:rFonts w:ascii="Times New Roman" w:hAnsi="Times New Roman" w:cs="Times New Roman"/>
          <w:b/>
          <w:sz w:val="28"/>
          <w:szCs w:val="28"/>
        </w:rPr>
        <w:t>, teoretická východiska</w:t>
      </w:r>
    </w:p>
    <w:p w:rsidR="00514368" w:rsidRDefault="00514368" w:rsidP="00FC3D2F">
      <w:pPr>
        <w:spacing w:line="360" w:lineRule="auto"/>
        <w:jc w:val="both"/>
        <w:rPr>
          <w:rFonts w:ascii="Times New Roman" w:hAnsi="Times New Roman" w:cs="Times New Roman"/>
          <w:sz w:val="24"/>
          <w:szCs w:val="24"/>
        </w:rPr>
      </w:pPr>
      <w:r w:rsidRPr="004804FF">
        <w:rPr>
          <w:rFonts w:ascii="Times New Roman" w:hAnsi="Times New Roman" w:cs="Times New Roman"/>
          <w:sz w:val="24"/>
          <w:szCs w:val="24"/>
        </w:rPr>
        <w:t xml:space="preserve">Realitní trhy zemí </w:t>
      </w:r>
      <w:proofErr w:type="spellStart"/>
      <w:r w:rsidR="00772959">
        <w:rPr>
          <w:rFonts w:ascii="Times New Roman" w:hAnsi="Times New Roman" w:cs="Times New Roman"/>
          <w:sz w:val="24"/>
          <w:szCs w:val="24"/>
        </w:rPr>
        <w:t>Vysegrádské</w:t>
      </w:r>
      <w:proofErr w:type="spellEnd"/>
      <w:r w:rsidR="00772959">
        <w:rPr>
          <w:rFonts w:ascii="Times New Roman" w:hAnsi="Times New Roman" w:cs="Times New Roman"/>
          <w:sz w:val="24"/>
          <w:szCs w:val="24"/>
        </w:rPr>
        <w:t xml:space="preserve"> čtyřky (</w:t>
      </w:r>
      <w:r w:rsidRPr="004804FF">
        <w:rPr>
          <w:rFonts w:ascii="Times New Roman" w:hAnsi="Times New Roman" w:cs="Times New Roman"/>
          <w:sz w:val="24"/>
          <w:szCs w:val="24"/>
        </w:rPr>
        <w:t>V4</w:t>
      </w:r>
      <w:r w:rsidR="00772959">
        <w:rPr>
          <w:rFonts w:ascii="Times New Roman" w:hAnsi="Times New Roman" w:cs="Times New Roman"/>
          <w:sz w:val="24"/>
          <w:szCs w:val="24"/>
        </w:rPr>
        <w:t>)</w:t>
      </w:r>
      <w:r w:rsidRPr="004804FF">
        <w:rPr>
          <w:rFonts w:ascii="Times New Roman" w:hAnsi="Times New Roman" w:cs="Times New Roman"/>
          <w:sz w:val="24"/>
          <w:szCs w:val="24"/>
        </w:rPr>
        <w:t xml:space="preserve">, tedy Česka, Slovenska, Polska a Maďarska by měly procházet podobným vývojem, neboť řada ekonomických a demografických faktorů, které jej utvářejí, je formována na </w:t>
      </w:r>
      <w:r w:rsidR="004804FF">
        <w:rPr>
          <w:rFonts w:ascii="Times New Roman" w:hAnsi="Times New Roman" w:cs="Times New Roman"/>
          <w:sz w:val="24"/>
          <w:szCs w:val="24"/>
        </w:rPr>
        <w:t xml:space="preserve">obdobném </w:t>
      </w:r>
      <w:r w:rsidRPr="004804FF">
        <w:rPr>
          <w:rFonts w:ascii="Times New Roman" w:hAnsi="Times New Roman" w:cs="Times New Roman"/>
          <w:sz w:val="24"/>
          <w:szCs w:val="24"/>
        </w:rPr>
        <w:t xml:space="preserve">kulturně, </w:t>
      </w:r>
      <w:r w:rsidR="004804FF">
        <w:rPr>
          <w:rFonts w:ascii="Times New Roman" w:hAnsi="Times New Roman" w:cs="Times New Roman"/>
          <w:sz w:val="24"/>
          <w:szCs w:val="24"/>
        </w:rPr>
        <w:t>politickém a</w:t>
      </w:r>
      <w:r w:rsidRPr="004804FF">
        <w:rPr>
          <w:rFonts w:ascii="Times New Roman" w:hAnsi="Times New Roman" w:cs="Times New Roman"/>
          <w:sz w:val="24"/>
          <w:szCs w:val="24"/>
        </w:rPr>
        <w:t xml:space="preserve"> ekonomickém základě. </w:t>
      </w:r>
    </w:p>
    <w:p w:rsidR="00B1589E" w:rsidRPr="00AB4199" w:rsidRDefault="004804FF" w:rsidP="00FC3D2F">
      <w:pPr>
        <w:spacing w:line="360" w:lineRule="auto"/>
        <w:jc w:val="both"/>
        <w:rPr>
          <w:rFonts w:ascii="Times New Roman" w:hAnsi="Times New Roman" w:cs="Times New Roman"/>
          <w:sz w:val="24"/>
          <w:szCs w:val="24"/>
        </w:rPr>
      </w:pPr>
      <w:r>
        <w:rPr>
          <w:rFonts w:ascii="Times New Roman" w:hAnsi="Times New Roman" w:cs="Times New Roman"/>
          <w:sz w:val="24"/>
          <w:szCs w:val="24"/>
        </w:rPr>
        <w:t>Všechny hodnocené země prošly po roce 1989 nutnou transformací z neefektivně fungujících centrálně řízených ekonomik na ekonomiky ryze tržní. Základem této transformace byla pr</w:t>
      </w:r>
      <w:r w:rsidR="00D6787E">
        <w:rPr>
          <w:rFonts w:ascii="Times New Roman" w:hAnsi="Times New Roman" w:cs="Times New Roman"/>
          <w:sz w:val="24"/>
          <w:szCs w:val="24"/>
        </w:rPr>
        <w:t>ivatizace, kdy se stát snažil co nejvíce státem vlastněných kapacit dostat do soukromých rukou. Cesta t</w:t>
      </w:r>
      <w:r w:rsidR="0079271E">
        <w:rPr>
          <w:rFonts w:ascii="Times New Roman" w:hAnsi="Times New Roman" w:cs="Times New Roman"/>
          <w:sz w:val="24"/>
          <w:szCs w:val="24"/>
        </w:rPr>
        <w:t>éto transformace nebyla</w:t>
      </w:r>
      <w:r w:rsidR="00D6787E">
        <w:rPr>
          <w:rFonts w:ascii="Times New Roman" w:hAnsi="Times New Roman" w:cs="Times New Roman"/>
          <w:sz w:val="24"/>
          <w:szCs w:val="24"/>
        </w:rPr>
        <w:t xml:space="preserve"> jednoduchá, provázela jí celá řada problémů a skandálů. Ty často zasahovaly až do nejvyšších politických pater, determinovaly tak následné nutné změny. S ekonomickou transformací bylo nutné provést též transformaci právní. I když ta přicházela nikoli paralelně, nýbrž až následně, nakonec se i ta podařila a byla do jisté míry úspěšná. I když jsou nadále některé z těchto zemí osočovány z toho, že jejich právní systémy obsahují prvky autoritářství</w:t>
      </w:r>
      <w:r w:rsidR="0079271E">
        <w:rPr>
          <w:rFonts w:ascii="Times New Roman" w:hAnsi="Times New Roman" w:cs="Times New Roman"/>
          <w:sz w:val="24"/>
          <w:szCs w:val="24"/>
        </w:rPr>
        <w:t xml:space="preserve"> (Maďarsko, Polsko)</w:t>
      </w:r>
      <w:r w:rsidR="00D6787E">
        <w:rPr>
          <w:rFonts w:ascii="Times New Roman" w:hAnsi="Times New Roman" w:cs="Times New Roman"/>
          <w:sz w:val="24"/>
          <w:szCs w:val="24"/>
        </w:rPr>
        <w:t xml:space="preserve">, můžeme s jistotou říci, že jde ve všech případech o země s rozvíjející se tržní ekonomikou, politicky a ekonomicky ukotvené ve společném ekonomickém prostoru ekonomické spolupráce členských zemí EU. Společný historický vývoj, obdobné tradice, </w:t>
      </w:r>
      <w:r w:rsidR="00FC3D2F">
        <w:rPr>
          <w:rFonts w:ascii="Times New Roman" w:hAnsi="Times New Roman" w:cs="Times New Roman"/>
          <w:sz w:val="24"/>
          <w:szCs w:val="24"/>
        </w:rPr>
        <w:t>lokalizační blízkost, ukotvení v</w:t>
      </w:r>
      <w:r w:rsidR="00C775B6">
        <w:rPr>
          <w:rFonts w:ascii="Times New Roman" w:hAnsi="Times New Roman" w:cs="Times New Roman"/>
          <w:sz w:val="24"/>
          <w:szCs w:val="24"/>
        </w:rPr>
        <w:t>e</w:t>
      </w:r>
      <w:r w:rsidR="00FC3D2F">
        <w:rPr>
          <w:rFonts w:ascii="Times New Roman" w:hAnsi="Times New Roman" w:cs="Times New Roman"/>
          <w:sz w:val="24"/>
          <w:szCs w:val="24"/>
        </w:rPr>
        <w:t xml:space="preserve"> společných strukturách ekonomické spolupráce (EU, V4), a nakonec i velmi obdobná </w:t>
      </w:r>
      <w:proofErr w:type="spellStart"/>
      <w:r w:rsidR="00FC3D2F">
        <w:rPr>
          <w:rFonts w:ascii="Times New Roman" w:hAnsi="Times New Roman" w:cs="Times New Roman"/>
          <w:sz w:val="24"/>
          <w:szCs w:val="24"/>
        </w:rPr>
        <w:t>ekonomicko</w:t>
      </w:r>
      <w:proofErr w:type="spellEnd"/>
      <w:r w:rsidR="00FC3D2F">
        <w:rPr>
          <w:rFonts w:ascii="Times New Roman" w:hAnsi="Times New Roman" w:cs="Times New Roman"/>
          <w:sz w:val="24"/>
          <w:szCs w:val="24"/>
        </w:rPr>
        <w:t xml:space="preserve"> - sociá</w:t>
      </w:r>
      <w:r w:rsidR="00BD7489">
        <w:rPr>
          <w:rFonts w:ascii="Times New Roman" w:hAnsi="Times New Roman" w:cs="Times New Roman"/>
          <w:sz w:val="24"/>
          <w:szCs w:val="24"/>
        </w:rPr>
        <w:t>lní úroveň zemí naznačuje, že by do značné míry měl být obdobný též</w:t>
      </w:r>
      <w:r w:rsidR="00FC3D2F">
        <w:rPr>
          <w:rFonts w:ascii="Times New Roman" w:hAnsi="Times New Roman" w:cs="Times New Roman"/>
          <w:sz w:val="24"/>
          <w:szCs w:val="24"/>
        </w:rPr>
        <w:t xml:space="preserve"> vývoj jejich realitních trhů. Tyto trhy by se svou blízkostí také měly do jisté míry vzájemně ovlivňovat.</w:t>
      </w:r>
      <w:r w:rsidR="00BD7489">
        <w:rPr>
          <w:rFonts w:ascii="Times New Roman" w:hAnsi="Times New Roman" w:cs="Times New Roman"/>
          <w:sz w:val="24"/>
          <w:szCs w:val="24"/>
        </w:rPr>
        <w:t xml:space="preserve"> I přes tyto předpoklady lze ovšem sledovat určité diference, které mohou mít příčiny více či méně odlišném vývoji ukazatelů, které determinují realitní trh, respektive ceny nemovitostí a dostupnost bydlení. </w:t>
      </w:r>
      <w:r w:rsidR="00BD7489" w:rsidRPr="00C40280">
        <w:rPr>
          <w:rFonts w:ascii="Times New Roman" w:hAnsi="Times New Roman" w:cs="Times New Roman"/>
          <w:sz w:val="24"/>
          <w:szCs w:val="24"/>
        </w:rPr>
        <w:t>Těmito faktory jsou např. HDP země</w:t>
      </w:r>
      <w:r w:rsidR="00C40280" w:rsidRPr="00C40280">
        <w:rPr>
          <w:rFonts w:ascii="Times New Roman" w:hAnsi="Times New Roman" w:cs="Times New Roman"/>
          <w:sz w:val="24"/>
          <w:szCs w:val="24"/>
        </w:rPr>
        <w:t xml:space="preserve"> (</w:t>
      </w:r>
      <w:proofErr w:type="spellStart"/>
      <w:r w:rsidR="00C40280" w:rsidRPr="00C40280">
        <w:rPr>
          <w:rFonts w:ascii="Times New Roman" w:eastAsia="Arial Unicode MS" w:hAnsi="Times New Roman" w:cs="Times New Roman"/>
          <w:sz w:val="24"/>
          <w:szCs w:val="24"/>
          <w:bdr w:val="nil"/>
          <w:lang w:val="en-GB"/>
        </w:rPr>
        <w:t>Golej</w:t>
      </w:r>
      <w:proofErr w:type="spellEnd"/>
      <w:r w:rsidR="00C40280" w:rsidRPr="00C40280">
        <w:rPr>
          <w:rFonts w:ascii="Times New Roman" w:eastAsia="Arial Unicode MS" w:hAnsi="Times New Roman" w:cs="Times New Roman"/>
          <w:sz w:val="24"/>
          <w:szCs w:val="24"/>
          <w:bdr w:val="nil"/>
          <w:lang w:val="en-GB"/>
        </w:rPr>
        <w:t xml:space="preserve">, </w:t>
      </w:r>
      <w:proofErr w:type="spellStart"/>
      <w:r w:rsidR="00C40280" w:rsidRPr="00C40280">
        <w:rPr>
          <w:rFonts w:ascii="Times New Roman" w:eastAsia="Arial Unicode MS" w:hAnsi="Times New Roman" w:cs="Times New Roman"/>
          <w:sz w:val="24"/>
          <w:szCs w:val="24"/>
          <w:bdr w:val="nil"/>
          <w:lang w:val="en-GB"/>
        </w:rPr>
        <w:t>Pánik</w:t>
      </w:r>
      <w:proofErr w:type="spellEnd"/>
      <w:r w:rsidR="00C40280" w:rsidRPr="00C40280">
        <w:rPr>
          <w:rFonts w:ascii="Times New Roman" w:eastAsia="Arial Unicode MS" w:hAnsi="Times New Roman" w:cs="Times New Roman"/>
          <w:sz w:val="24"/>
          <w:szCs w:val="24"/>
          <w:bdr w:val="nil"/>
          <w:lang w:val="en-GB"/>
        </w:rPr>
        <w:t xml:space="preserve">, </w:t>
      </w:r>
      <w:proofErr w:type="spellStart"/>
      <w:r w:rsidR="00C40280" w:rsidRPr="00C40280">
        <w:rPr>
          <w:rFonts w:ascii="Times New Roman" w:eastAsia="Arial Unicode MS" w:hAnsi="Times New Roman" w:cs="Times New Roman"/>
          <w:sz w:val="24"/>
          <w:szCs w:val="24"/>
          <w:bdr w:val="nil"/>
          <w:lang w:val="en-GB"/>
        </w:rPr>
        <w:t>Špirková</w:t>
      </w:r>
      <w:proofErr w:type="spellEnd"/>
      <w:r w:rsidR="00C40280" w:rsidRPr="00C40280">
        <w:rPr>
          <w:rFonts w:ascii="Times New Roman" w:eastAsia="Arial Unicode MS" w:hAnsi="Times New Roman" w:cs="Times New Roman"/>
          <w:sz w:val="24"/>
          <w:szCs w:val="24"/>
          <w:bdr w:val="nil"/>
          <w:lang w:val="en-GB"/>
        </w:rPr>
        <w:t>, 2016)</w:t>
      </w:r>
      <w:r w:rsidR="00C40280">
        <w:rPr>
          <w:rFonts w:ascii="Times New Roman" w:hAnsi="Times New Roman" w:cs="Times New Roman"/>
          <w:sz w:val="24"/>
          <w:szCs w:val="24"/>
        </w:rPr>
        <w:t>,</w:t>
      </w:r>
      <w:r w:rsidR="00BD7489" w:rsidRPr="00C40280">
        <w:rPr>
          <w:rFonts w:ascii="Times New Roman" w:hAnsi="Times New Roman" w:cs="Times New Roman"/>
          <w:sz w:val="24"/>
          <w:szCs w:val="24"/>
        </w:rPr>
        <w:t xml:space="preserve"> vývoj průměrné mzdy</w:t>
      </w:r>
      <w:r w:rsidR="00C40280" w:rsidRPr="00C40280">
        <w:rPr>
          <w:rFonts w:ascii="Times New Roman" w:hAnsi="Times New Roman" w:cs="Times New Roman"/>
          <w:sz w:val="24"/>
          <w:szCs w:val="24"/>
        </w:rPr>
        <w:t xml:space="preserve"> (</w:t>
      </w:r>
      <w:proofErr w:type="spellStart"/>
      <w:r w:rsidR="00C40280" w:rsidRPr="00C40280">
        <w:rPr>
          <w:rFonts w:ascii="Times New Roman" w:eastAsia="Arial Unicode MS" w:hAnsi="Times New Roman" w:cs="Times New Roman"/>
          <w:sz w:val="24"/>
          <w:szCs w:val="24"/>
          <w:bdr w:val="nil"/>
          <w:lang w:val="en-GB"/>
        </w:rPr>
        <w:t>Špirkova</w:t>
      </w:r>
      <w:proofErr w:type="spellEnd"/>
      <w:r w:rsidR="00C40280" w:rsidRPr="00C40280">
        <w:rPr>
          <w:rFonts w:ascii="Times New Roman" w:eastAsia="Arial Unicode MS" w:hAnsi="Times New Roman" w:cs="Times New Roman"/>
          <w:sz w:val="24"/>
          <w:szCs w:val="24"/>
          <w:bdr w:val="nil"/>
          <w:lang w:val="en-GB"/>
        </w:rPr>
        <w:t xml:space="preserve">, </w:t>
      </w:r>
      <w:proofErr w:type="spellStart"/>
      <w:r w:rsidR="00C40280" w:rsidRPr="00C40280">
        <w:rPr>
          <w:rFonts w:ascii="Times New Roman" w:eastAsia="Arial Unicode MS" w:hAnsi="Times New Roman" w:cs="Times New Roman"/>
          <w:sz w:val="24"/>
          <w:szCs w:val="24"/>
          <w:bdr w:val="nil"/>
          <w:lang w:val="en-GB"/>
        </w:rPr>
        <w:t>Ivanicka</w:t>
      </w:r>
      <w:proofErr w:type="spellEnd"/>
      <w:r w:rsidR="00C40280" w:rsidRPr="00C40280">
        <w:rPr>
          <w:rFonts w:ascii="Times New Roman" w:eastAsia="Arial Unicode MS" w:hAnsi="Times New Roman" w:cs="Times New Roman"/>
          <w:sz w:val="24"/>
          <w:szCs w:val="24"/>
          <w:bdr w:val="nil"/>
          <w:lang w:val="en-GB"/>
        </w:rPr>
        <w:t xml:space="preserve">, </w:t>
      </w:r>
      <w:proofErr w:type="spellStart"/>
      <w:r w:rsidR="00C40280" w:rsidRPr="00C40280">
        <w:rPr>
          <w:rFonts w:ascii="Times New Roman" w:eastAsia="Arial Unicode MS" w:hAnsi="Times New Roman" w:cs="Times New Roman"/>
          <w:sz w:val="24"/>
          <w:szCs w:val="24"/>
          <w:bdr w:val="nil"/>
          <w:lang w:val="en-GB"/>
        </w:rPr>
        <w:t>Finka</w:t>
      </w:r>
      <w:proofErr w:type="spellEnd"/>
      <w:r w:rsidR="00C40280" w:rsidRPr="00C40280">
        <w:rPr>
          <w:rFonts w:ascii="Times New Roman" w:eastAsia="Arial Unicode MS" w:hAnsi="Times New Roman" w:cs="Times New Roman"/>
          <w:sz w:val="24"/>
          <w:szCs w:val="24"/>
          <w:bdr w:val="nil"/>
          <w:lang w:val="en-GB"/>
        </w:rPr>
        <w:t>, 2009</w:t>
      </w:r>
      <w:r w:rsidR="004452B5" w:rsidRPr="00C40280">
        <w:rPr>
          <w:rFonts w:ascii="Times New Roman" w:hAnsi="Times New Roman" w:cs="Times New Roman"/>
          <w:sz w:val="24"/>
          <w:szCs w:val="24"/>
        </w:rPr>
        <w:t>)</w:t>
      </w:r>
      <w:r w:rsidR="00C40280">
        <w:rPr>
          <w:rFonts w:ascii="Times New Roman" w:hAnsi="Times New Roman" w:cs="Times New Roman"/>
          <w:sz w:val="24"/>
          <w:szCs w:val="24"/>
        </w:rPr>
        <w:t>,</w:t>
      </w:r>
      <w:r w:rsidR="00B1589E" w:rsidRPr="00C40280">
        <w:rPr>
          <w:rFonts w:ascii="Times New Roman" w:hAnsi="Times New Roman" w:cs="Times New Roman"/>
          <w:sz w:val="24"/>
          <w:szCs w:val="24"/>
        </w:rPr>
        <w:t xml:space="preserve"> </w:t>
      </w:r>
      <w:r w:rsidR="00C40280" w:rsidRPr="00C40280">
        <w:rPr>
          <w:rFonts w:ascii="Times New Roman" w:hAnsi="Times New Roman" w:cs="Times New Roman"/>
          <w:sz w:val="24"/>
          <w:szCs w:val="24"/>
        </w:rPr>
        <w:t>(</w:t>
      </w:r>
      <w:proofErr w:type="spellStart"/>
      <w:r w:rsidR="00C40280" w:rsidRPr="00C40280">
        <w:rPr>
          <w:rFonts w:ascii="Times New Roman" w:hAnsi="Times New Roman" w:cs="Times New Roman"/>
          <w:sz w:val="24"/>
          <w:szCs w:val="24"/>
        </w:rPr>
        <w:t>Barot</w:t>
      </w:r>
      <w:proofErr w:type="spellEnd"/>
      <w:r w:rsidR="00C40280" w:rsidRPr="00C40280">
        <w:rPr>
          <w:rFonts w:ascii="Times New Roman" w:hAnsi="Times New Roman" w:cs="Times New Roman"/>
          <w:sz w:val="24"/>
          <w:szCs w:val="24"/>
        </w:rPr>
        <w:t>,</w:t>
      </w:r>
      <w:r w:rsidR="004452B5" w:rsidRPr="00C40280">
        <w:rPr>
          <w:rFonts w:ascii="Times New Roman" w:hAnsi="Times New Roman" w:cs="Times New Roman"/>
          <w:sz w:val="24"/>
          <w:szCs w:val="24"/>
        </w:rPr>
        <w:t xml:space="preserve"> </w:t>
      </w:r>
      <w:proofErr w:type="spellStart"/>
      <w:r w:rsidR="004452B5" w:rsidRPr="00C40280">
        <w:rPr>
          <w:rFonts w:ascii="Times New Roman" w:hAnsi="Times New Roman" w:cs="Times New Roman"/>
          <w:sz w:val="24"/>
          <w:szCs w:val="24"/>
        </w:rPr>
        <w:t>Yang</w:t>
      </w:r>
      <w:proofErr w:type="spellEnd"/>
      <w:r w:rsidR="00C40280" w:rsidRPr="00C40280">
        <w:rPr>
          <w:rFonts w:ascii="Times New Roman" w:hAnsi="Times New Roman" w:cs="Times New Roman"/>
          <w:sz w:val="24"/>
          <w:szCs w:val="24"/>
        </w:rPr>
        <w:t>, 2002</w:t>
      </w:r>
      <w:r w:rsidR="004452B5" w:rsidRPr="00C40280">
        <w:rPr>
          <w:rFonts w:ascii="Times New Roman" w:hAnsi="Times New Roman" w:cs="Times New Roman"/>
          <w:sz w:val="24"/>
          <w:szCs w:val="24"/>
        </w:rPr>
        <w:t>)</w:t>
      </w:r>
      <w:r w:rsidR="0079271E">
        <w:rPr>
          <w:rFonts w:ascii="Times New Roman" w:hAnsi="Times New Roman" w:cs="Times New Roman"/>
          <w:sz w:val="24"/>
          <w:szCs w:val="24"/>
        </w:rPr>
        <w:t xml:space="preserve"> úrokové sazby a inflace</w:t>
      </w:r>
      <w:r w:rsidR="00C40280">
        <w:rPr>
          <w:rFonts w:ascii="Times New Roman" w:hAnsi="Times New Roman" w:cs="Times New Roman"/>
          <w:sz w:val="24"/>
          <w:szCs w:val="24"/>
        </w:rPr>
        <w:t xml:space="preserve"> (</w:t>
      </w:r>
      <w:proofErr w:type="spellStart"/>
      <w:r w:rsidR="00C40280" w:rsidRPr="00C40280">
        <w:rPr>
          <w:rFonts w:ascii="Times New Roman" w:eastAsia="Arial Unicode MS" w:hAnsi="Times New Roman" w:cs="Times New Roman"/>
          <w:sz w:val="24"/>
          <w:szCs w:val="24"/>
          <w:bdr w:val="nil"/>
          <w:lang w:val="en-GB"/>
        </w:rPr>
        <w:t>Golej</w:t>
      </w:r>
      <w:proofErr w:type="spellEnd"/>
      <w:r w:rsidR="00C40280" w:rsidRPr="00C40280">
        <w:rPr>
          <w:rFonts w:ascii="Times New Roman" w:eastAsia="Arial Unicode MS" w:hAnsi="Times New Roman" w:cs="Times New Roman"/>
          <w:sz w:val="24"/>
          <w:szCs w:val="24"/>
          <w:bdr w:val="nil"/>
          <w:lang w:val="en-GB"/>
        </w:rPr>
        <w:t xml:space="preserve">, </w:t>
      </w:r>
      <w:proofErr w:type="spellStart"/>
      <w:r w:rsidR="00C40280" w:rsidRPr="00C40280">
        <w:rPr>
          <w:rFonts w:ascii="Times New Roman" w:eastAsia="Arial Unicode MS" w:hAnsi="Times New Roman" w:cs="Times New Roman"/>
          <w:sz w:val="24"/>
          <w:szCs w:val="24"/>
          <w:bdr w:val="nil"/>
          <w:lang w:val="en-GB"/>
        </w:rPr>
        <w:t>Pánik</w:t>
      </w:r>
      <w:proofErr w:type="spellEnd"/>
      <w:r w:rsidR="00C40280" w:rsidRPr="00C40280">
        <w:rPr>
          <w:rFonts w:ascii="Times New Roman" w:eastAsia="Arial Unicode MS" w:hAnsi="Times New Roman" w:cs="Times New Roman"/>
          <w:sz w:val="24"/>
          <w:szCs w:val="24"/>
          <w:bdr w:val="nil"/>
          <w:lang w:val="en-GB"/>
        </w:rPr>
        <w:t xml:space="preserve">, </w:t>
      </w:r>
      <w:proofErr w:type="spellStart"/>
      <w:r w:rsidR="00C40280" w:rsidRPr="00C40280">
        <w:rPr>
          <w:rFonts w:ascii="Times New Roman" w:eastAsia="Arial Unicode MS" w:hAnsi="Times New Roman" w:cs="Times New Roman"/>
          <w:sz w:val="24"/>
          <w:szCs w:val="24"/>
          <w:bdr w:val="nil"/>
          <w:lang w:val="en-GB"/>
        </w:rPr>
        <w:t>Špirková</w:t>
      </w:r>
      <w:proofErr w:type="spellEnd"/>
      <w:r w:rsidR="00C40280" w:rsidRPr="00C40280">
        <w:rPr>
          <w:rFonts w:ascii="Times New Roman" w:eastAsia="Arial Unicode MS" w:hAnsi="Times New Roman" w:cs="Times New Roman"/>
          <w:sz w:val="24"/>
          <w:szCs w:val="24"/>
          <w:bdr w:val="nil"/>
          <w:lang w:val="en-GB"/>
        </w:rPr>
        <w:t>, 2016</w:t>
      </w:r>
      <w:r w:rsidR="004452B5" w:rsidRPr="00C40280">
        <w:rPr>
          <w:rFonts w:ascii="Times New Roman" w:hAnsi="Times New Roman" w:cs="Times New Roman"/>
          <w:sz w:val="24"/>
          <w:szCs w:val="24"/>
        </w:rPr>
        <w:t>)</w:t>
      </w:r>
      <w:r w:rsidR="00C40280">
        <w:rPr>
          <w:rFonts w:ascii="Times New Roman" w:hAnsi="Times New Roman" w:cs="Times New Roman"/>
          <w:sz w:val="24"/>
          <w:szCs w:val="24"/>
        </w:rPr>
        <w:t>,</w:t>
      </w:r>
      <w:r w:rsidR="00B1589E" w:rsidRPr="00C40280">
        <w:rPr>
          <w:rFonts w:ascii="Times New Roman" w:hAnsi="Times New Roman" w:cs="Times New Roman"/>
          <w:sz w:val="24"/>
          <w:szCs w:val="24"/>
        </w:rPr>
        <w:t xml:space="preserve"> </w:t>
      </w:r>
      <w:r w:rsidR="004452B5" w:rsidRPr="00C40280">
        <w:rPr>
          <w:rFonts w:ascii="Times New Roman" w:hAnsi="Times New Roman" w:cs="Times New Roman"/>
          <w:sz w:val="24"/>
          <w:szCs w:val="24"/>
        </w:rPr>
        <w:t>(</w:t>
      </w:r>
      <w:proofErr w:type="spellStart"/>
      <w:r w:rsidR="00AB4199">
        <w:rPr>
          <w:rFonts w:ascii="Times New Roman" w:hAnsi="Times New Roman" w:cs="Times New Roman"/>
          <w:sz w:val="24"/>
          <w:szCs w:val="24"/>
        </w:rPr>
        <w:t>Ivanická</w:t>
      </w:r>
      <w:proofErr w:type="spellEnd"/>
      <w:r w:rsidR="00AB4199">
        <w:rPr>
          <w:rFonts w:ascii="Times New Roman" w:hAnsi="Times New Roman" w:cs="Times New Roman"/>
          <w:sz w:val="24"/>
          <w:szCs w:val="24"/>
        </w:rPr>
        <w:t>, 2003</w:t>
      </w:r>
      <w:r w:rsidR="00B1589E" w:rsidRPr="00C40280">
        <w:rPr>
          <w:rFonts w:ascii="Times New Roman" w:hAnsi="Times New Roman" w:cs="Times New Roman"/>
          <w:sz w:val="24"/>
          <w:szCs w:val="24"/>
        </w:rPr>
        <w:t>)</w:t>
      </w:r>
      <w:r w:rsidR="0079271E">
        <w:rPr>
          <w:rFonts w:ascii="Times New Roman" w:hAnsi="Times New Roman" w:cs="Times New Roman"/>
          <w:sz w:val="24"/>
          <w:szCs w:val="24"/>
        </w:rPr>
        <w:t>, vývoj</w:t>
      </w:r>
      <w:r w:rsidR="00BD7489" w:rsidRPr="00C40280">
        <w:rPr>
          <w:rFonts w:ascii="Times New Roman" w:hAnsi="Times New Roman" w:cs="Times New Roman"/>
          <w:sz w:val="24"/>
          <w:szCs w:val="24"/>
        </w:rPr>
        <w:t xml:space="preserve"> populace</w:t>
      </w:r>
      <w:r w:rsidR="00B1589E" w:rsidRPr="00C40280">
        <w:rPr>
          <w:rFonts w:ascii="Times New Roman" w:hAnsi="Times New Roman" w:cs="Times New Roman"/>
          <w:sz w:val="24"/>
          <w:szCs w:val="24"/>
        </w:rPr>
        <w:t xml:space="preserve"> (</w:t>
      </w:r>
      <w:proofErr w:type="spellStart"/>
      <w:r w:rsidR="00B1589E" w:rsidRPr="00C40280">
        <w:rPr>
          <w:rFonts w:ascii="Times New Roman" w:hAnsi="Times New Roman" w:cs="Times New Roman"/>
          <w:sz w:val="24"/>
          <w:szCs w:val="24"/>
        </w:rPr>
        <w:t>Miles</w:t>
      </w:r>
      <w:proofErr w:type="spellEnd"/>
      <w:r w:rsidR="00B1589E" w:rsidRPr="00C40280">
        <w:rPr>
          <w:rFonts w:ascii="Times New Roman" w:hAnsi="Times New Roman" w:cs="Times New Roman"/>
          <w:sz w:val="24"/>
          <w:szCs w:val="24"/>
        </w:rPr>
        <w:t xml:space="preserve">, </w:t>
      </w:r>
      <w:proofErr w:type="spellStart"/>
      <w:r w:rsidR="00B1589E" w:rsidRPr="00C40280">
        <w:rPr>
          <w:rFonts w:ascii="Times New Roman" w:hAnsi="Times New Roman" w:cs="Times New Roman"/>
          <w:sz w:val="24"/>
          <w:szCs w:val="24"/>
        </w:rPr>
        <w:t>Pilonca</w:t>
      </w:r>
      <w:proofErr w:type="spellEnd"/>
      <w:r w:rsidR="000350D4">
        <w:rPr>
          <w:rFonts w:ascii="Times New Roman" w:hAnsi="Times New Roman" w:cs="Times New Roman"/>
          <w:sz w:val="24"/>
          <w:szCs w:val="24"/>
        </w:rPr>
        <w:t>, 2012</w:t>
      </w:r>
      <w:r w:rsidR="00B1589E" w:rsidRPr="00C40280">
        <w:rPr>
          <w:rFonts w:ascii="Times New Roman" w:hAnsi="Times New Roman" w:cs="Times New Roman"/>
          <w:sz w:val="24"/>
          <w:szCs w:val="24"/>
        </w:rPr>
        <w:t>) a</w:t>
      </w:r>
      <w:r w:rsidR="00BD7489" w:rsidRPr="00C40280">
        <w:rPr>
          <w:rFonts w:ascii="Times New Roman" w:hAnsi="Times New Roman" w:cs="Times New Roman"/>
          <w:sz w:val="24"/>
          <w:szCs w:val="24"/>
        </w:rPr>
        <w:t xml:space="preserve"> bytová výstavba</w:t>
      </w:r>
      <w:r w:rsidR="00C40280">
        <w:rPr>
          <w:rFonts w:ascii="Times New Roman" w:hAnsi="Times New Roman" w:cs="Times New Roman"/>
          <w:sz w:val="24"/>
          <w:szCs w:val="24"/>
        </w:rPr>
        <w:t xml:space="preserve"> </w:t>
      </w:r>
      <w:r w:rsidR="00AB4199" w:rsidRPr="00AB4199">
        <w:rPr>
          <w:rFonts w:ascii="Times New Roman" w:hAnsi="Times New Roman" w:cs="Times New Roman"/>
          <w:sz w:val="24"/>
          <w:szCs w:val="24"/>
        </w:rPr>
        <w:t>(</w:t>
      </w:r>
      <w:proofErr w:type="spellStart"/>
      <w:r w:rsidR="00AB4199" w:rsidRPr="00AB4199">
        <w:rPr>
          <w:rFonts w:ascii="Times New Roman" w:eastAsia="Arial Unicode MS" w:hAnsi="Times New Roman" w:cs="Times New Roman"/>
          <w:sz w:val="24"/>
          <w:szCs w:val="24"/>
          <w:bdr w:val="nil"/>
          <w:shd w:val="clear" w:color="auto" w:fill="FFFFFF"/>
          <w:lang w:val="en-GB"/>
        </w:rPr>
        <w:t>Hlaváček</w:t>
      </w:r>
      <w:proofErr w:type="spellEnd"/>
      <w:r w:rsidR="00AB4199" w:rsidRPr="00AB4199">
        <w:rPr>
          <w:rFonts w:ascii="Times New Roman" w:eastAsia="Arial Unicode MS" w:hAnsi="Times New Roman" w:cs="Times New Roman"/>
          <w:sz w:val="24"/>
          <w:szCs w:val="24"/>
          <w:bdr w:val="nil"/>
          <w:shd w:val="clear" w:color="auto" w:fill="FFFFFF"/>
          <w:lang w:val="en-GB"/>
        </w:rPr>
        <w:t xml:space="preserve">, </w:t>
      </w:r>
      <w:proofErr w:type="spellStart"/>
      <w:r w:rsidR="00AB4199" w:rsidRPr="00AB4199">
        <w:rPr>
          <w:rFonts w:ascii="Times New Roman" w:eastAsia="Arial Unicode MS" w:hAnsi="Times New Roman" w:cs="Times New Roman"/>
          <w:sz w:val="24"/>
          <w:szCs w:val="24"/>
          <w:bdr w:val="nil"/>
          <w:shd w:val="clear" w:color="auto" w:fill="FFFFFF"/>
          <w:lang w:val="en-GB"/>
        </w:rPr>
        <w:t>Komárek</w:t>
      </w:r>
      <w:proofErr w:type="spellEnd"/>
      <w:r w:rsidR="00AB4199" w:rsidRPr="00AB4199">
        <w:rPr>
          <w:rFonts w:ascii="Times New Roman" w:eastAsia="Arial Unicode MS" w:hAnsi="Times New Roman" w:cs="Times New Roman"/>
          <w:sz w:val="24"/>
          <w:szCs w:val="24"/>
          <w:bdr w:val="nil"/>
          <w:shd w:val="clear" w:color="auto" w:fill="FFFFFF"/>
          <w:lang w:val="en-GB"/>
        </w:rPr>
        <w:t>, 2009)</w:t>
      </w:r>
      <w:r w:rsidR="00BD7489" w:rsidRPr="00AB4199">
        <w:rPr>
          <w:rFonts w:ascii="Times New Roman" w:hAnsi="Times New Roman" w:cs="Times New Roman"/>
          <w:sz w:val="24"/>
          <w:szCs w:val="24"/>
        </w:rPr>
        <w:t xml:space="preserve">. </w:t>
      </w:r>
      <w:proofErr w:type="spellStart"/>
      <w:r w:rsidR="00AB4199">
        <w:rPr>
          <w:rFonts w:ascii="Times New Roman" w:hAnsi="Times New Roman" w:cs="Times New Roman"/>
          <w:sz w:val="24"/>
          <w:szCs w:val="24"/>
        </w:rPr>
        <w:t>Signifikantnost</w:t>
      </w:r>
      <w:proofErr w:type="spellEnd"/>
      <w:r w:rsidR="00AB4199">
        <w:rPr>
          <w:rFonts w:ascii="Times New Roman" w:hAnsi="Times New Roman" w:cs="Times New Roman"/>
          <w:sz w:val="24"/>
          <w:szCs w:val="24"/>
        </w:rPr>
        <w:t xml:space="preserve"> zmíněných faktorů potvrdila též analýza faktorů na realitním trhu v</w:t>
      </w:r>
      <w:r w:rsidR="00D61155">
        <w:rPr>
          <w:rFonts w:ascii="Times New Roman" w:hAnsi="Times New Roman" w:cs="Times New Roman"/>
          <w:sz w:val="24"/>
          <w:szCs w:val="24"/>
        </w:rPr>
        <w:t> </w:t>
      </w:r>
      <w:r w:rsidR="00AB4199">
        <w:rPr>
          <w:rFonts w:ascii="Times New Roman" w:hAnsi="Times New Roman" w:cs="Times New Roman"/>
          <w:sz w:val="24"/>
          <w:szCs w:val="24"/>
        </w:rPr>
        <w:t>ČR</w:t>
      </w:r>
      <w:r w:rsidR="00D61155">
        <w:rPr>
          <w:rFonts w:ascii="Times New Roman" w:hAnsi="Times New Roman" w:cs="Times New Roman"/>
          <w:sz w:val="24"/>
          <w:szCs w:val="24"/>
        </w:rPr>
        <w:t xml:space="preserve"> </w:t>
      </w:r>
      <w:r w:rsidR="000350D4">
        <w:rPr>
          <w:rFonts w:ascii="Times New Roman" w:hAnsi="Times New Roman" w:cs="Times New Roman"/>
          <w:sz w:val="24"/>
          <w:szCs w:val="24"/>
        </w:rPr>
        <w:t>(</w:t>
      </w:r>
      <w:proofErr w:type="spellStart"/>
      <w:r w:rsidR="000350D4">
        <w:rPr>
          <w:rFonts w:ascii="Times New Roman" w:hAnsi="Times New Roman" w:cs="Times New Roman"/>
          <w:sz w:val="24"/>
          <w:szCs w:val="24"/>
        </w:rPr>
        <w:t>Uhman</w:t>
      </w:r>
      <w:proofErr w:type="spellEnd"/>
      <w:r w:rsidR="000350D4">
        <w:rPr>
          <w:rFonts w:ascii="Times New Roman" w:hAnsi="Times New Roman" w:cs="Times New Roman"/>
          <w:sz w:val="24"/>
          <w:szCs w:val="24"/>
        </w:rPr>
        <w:t>, 2019), (Pokorná, 2019) na realitním trhu v Polsku (</w:t>
      </w:r>
      <w:proofErr w:type="spellStart"/>
      <w:r w:rsidR="000350D4">
        <w:rPr>
          <w:rFonts w:ascii="Times New Roman" w:hAnsi="Times New Roman" w:cs="Times New Roman"/>
          <w:sz w:val="24"/>
          <w:szCs w:val="24"/>
        </w:rPr>
        <w:t>Tworek</w:t>
      </w:r>
      <w:proofErr w:type="spellEnd"/>
      <w:r w:rsidR="000350D4">
        <w:rPr>
          <w:rFonts w:ascii="Times New Roman" w:hAnsi="Times New Roman" w:cs="Times New Roman"/>
          <w:sz w:val="24"/>
          <w:szCs w:val="24"/>
        </w:rPr>
        <w:t>, 2010) i na Slovensku (</w:t>
      </w:r>
      <w:proofErr w:type="spellStart"/>
      <w:r w:rsidR="000C1988" w:rsidRPr="00C40280">
        <w:rPr>
          <w:rFonts w:ascii="Times New Roman" w:eastAsia="Arial Unicode MS" w:hAnsi="Times New Roman" w:cs="Times New Roman"/>
          <w:sz w:val="24"/>
          <w:szCs w:val="24"/>
          <w:bdr w:val="nil"/>
          <w:lang w:val="en-GB"/>
        </w:rPr>
        <w:t>Špirkova</w:t>
      </w:r>
      <w:proofErr w:type="spellEnd"/>
      <w:r w:rsidR="000C1988" w:rsidRPr="00C40280">
        <w:rPr>
          <w:rFonts w:ascii="Times New Roman" w:eastAsia="Arial Unicode MS" w:hAnsi="Times New Roman" w:cs="Times New Roman"/>
          <w:sz w:val="24"/>
          <w:szCs w:val="24"/>
          <w:bdr w:val="nil"/>
          <w:lang w:val="en-GB"/>
        </w:rPr>
        <w:t xml:space="preserve">, </w:t>
      </w:r>
      <w:proofErr w:type="spellStart"/>
      <w:r w:rsidR="000C1988" w:rsidRPr="00C40280">
        <w:rPr>
          <w:rFonts w:ascii="Times New Roman" w:eastAsia="Arial Unicode MS" w:hAnsi="Times New Roman" w:cs="Times New Roman"/>
          <w:sz w:val="24"/>
          <w:szCs w:val="24"/>
          <w:bdr w:val="nil"/>
          <w:lang w:val="en-GB"/>
        </w:rPr>
        <w:t>Ivanicka</w:t>
      </w:r>
      <w:proofErr w:type="spellEnd"/>
      <w:r w:rsidR="000C1988" w:rsidRPr="00C40280">
        <w:rPr>
          <w:rFonts w:ascii="Times New Roman" w:eastAsia="Arial Unicode MS" w:hAnsi="Times New Roman" w:cs="Times New Roman"/>
          <w:sz w:val="24"/>
          <w:szCs w:val="24"/>
          <w:bdr w:val="nil"/>
          <w:lang w:val="en-GB"/>
        </w:rPr>
        <w:t xml:space="preserve">, </w:t>
      </w:r>
      <w:proofErr w:type="spellStart"/>
      <w:r w:rsidR="000C1988" w:rsidRPr="00C40280">
        <w:rPr>
          <w:rFonts w:ascii="Times New Roman" w:eastAsia="Arial Unicode MS" w:hAnsi="Times New Roman" w:cs="Times New Roman"/>
          <w:sz w:val="24"/>
          <w:szCs w:val="24"/>
          <w:bdr w:val="nil"/>
          <w:lang w:val="en-GB"/>
        </w:rPr>
        <w:t>Finka</w:t>
      </w:r>
      <w:proofErr w:type="spellEnd"/>
      <w:r w:rsidR="000C1988" w:rsidRPr="00C40280">
        <w:rPr>
          <w:rFonts w:ascii="Times New Roman" w:eastAsia="Arial Unicode MS" w:hAnsi="Times New Roman" w:cs="Times New Roman"/>
          <w:sz w:val="24"/>
          <w:szCs w:val="24"/>
          <w:bdr w:val="nil"/>
          <w:lang w:val="en-GB"/>
        </w:rPr>
        <w:t>, 2009</w:t>
      </w:r>
      <w:r w:rsidR="000C1988">
        <w:rPr>
          <w:rFonts w:ascii="Times New Roman" w:eastAsia="Arial Unicode MS" w:hAnsi="Times New Roman" w:cs="Times New Roman"/>
          <w:sz w:val="24"/>
          <w:szCs w:val="24"/>
          <w:bdr w:val="nil"/>
          <w:lang w:val="en-GB"/>
        </w:rPr>
        <w:t>).</w:t>
      </w:r>
      <w:r w:rsidR="000350D4">
        <w:rPr>
          <w:rFonts w:ascii="Times New Roman" w:hAnsi="Times New Roman" w:cs="Times New Roman"/>
          <w:sz w:val="24"/>
          <w:szCs w:val="24"/>
        </w:rPr>
        <w:t xml:space="preserve"> </w:t>
      </w:r>
    </w:p>
    <w:p w:rsidR="00AB2748" w:rsidRDefault="00A31974" w:rsidP="00FC3D2F">
      <w:pPr>
        <w:spacing w:line="360" w:lineRule="auto"/>
        <w:jc w:val="both"/>
        <w:rPr>
          <w:rFonts w:ascii="Times New Roman" w:hAnsi="Times New Roman" w:cs="Times New Roman"/>
          <w:sz w:val="24"/>
          <w:szCs w:val="24"/>
        </w:rPr>
      </w:pPr>
      <w:r>
        <w:rPr>
          <w:rFonts w:ascii="Times New Roman" w:hAnsi="Times New Roman" w:cs="Times New Roman"/>
          <w:sz w:val="24"/>
          <w:szCs w:val="24"/>
        </w:rPr>
        <w:t>Dle výsledku</w:t>
      </w:r>
      <w:r w:rsidR="00B1589E">
        <w:rPr>
          <w:rFonts w:ascii="Times New Roman" w:hAnsi="Times New Roman" w:cs="Times New Roman"/>
          <w:sz w:val="24"/>
          <w:szCs w:val="24"/>
        </w:rPr>
        <w:t xml:space="preserve"> analýzy </w:t>
      </w:r>
      <w:proofErr w:type="spellStart"/>
      <w:r w:rsidR="00B1589E">
        <w:rPr>
          <w:rFonts w:ascii="Times New Roman" w:hAnsi="Times New Roman" w:cs="Times New Roman"/>
          <w:sz w:val="24"/>
          <w:szCs w:val="24"/>
        </w:rPr>
        <w:t>Vízka</w:t>
      </w:r>
      <w:proofErr w:type="spellEnd"/>
      <w:r w:rsidR="00B1589E">
        <w:rPr>
          <w:rFonts w:ascii="Times New Roman" w:hAnsi="Times New Roman" w:cs="Times New Roman"/>
          <w:sz w:val="24"/>
          <w:szCs w:val="24"/>
        </w:rPr>
        <w:t xml:space="preserve"> (</w:t>
      </w:r>
      <w:proofErr w:type="spellStart"/>
      <w:r w:rsidR="00B1589E">
        <w:rPr>
          <w:rFonts w:ascii="Times New Roman" w:hAnsi="Times New Roman" w:cs="Times New Roman"/>
          <w:sz w:val="24"/>
          <w:szCs w:val="24"/>
        </w:rPr>
        <w:t>Vízek</w:t>
      </w:r>
      <w:proofErr w:type="spellEnd"/>
      <w:r w:rsidR="00B1589E">
        <w:rPr>
          <w:rFonts w:ascii="Times New Roman" w:hAnsi="Times New Roman" w:cs="Times New Roman"/>
          <w:sz w:val="24"/>
          <w:szCs w:val="24"/>
        </w:rPr>
        <w:t>,</w:t>
      </w:r>
      <w:r>
        <w:rPr>
          <w:rFonts w:ascii="Times New Roman" w:hAnsi="Times New Roman" w:cs="Times New Roman"/>
          <w:sz w:val="24"/>
          <w:szCs w:val="24"/>
        </w:rPr>
        <w:t xml:space="preserve"> 2010</w:t>
      </w:r>
      <w:r w:rsidR="00B1589E">
        <w:rPr>
          <w:rFonts w:ascii="Times New Roman" w:hAnsi="Times New Roman" w:cs="Times New Roman"/>
          <w:sz w:val="24"/>
          <w:szCs w:val="24"/>
        </w:rPr>
        <w:t xml:space="preserve">) </w:t>
      </w:r>
      <w:r w:rsidRPr="00A31974">
        <w:rPr>
          <w:rFonts w:ascii="Times New Roman" w:hAnsi="Times New Roman" w:cs="Times New Roman"/>
          <w:sz w:val="24"/>
          <w:szCs w:val="24"/>
        </w:rPr>
        <w:t>publikované v roce 2010</w:t>
      </w:r>
      <w:r w:rsidR="00B1589E">
        <w:rPr>
          <w:rFonts w:ascii="Times New Roman" w:hAnsi="Times New Roman" w:cs="Times New Roman"/>
          <w:sz w:val="24"/>
          <w:szCs w:val="24"/>
        </w:rPr>
        <w:t xml:space="preserve"> </w:t>
      </w:r>
      <w:r>
        <w:rPr>
          <w:rFonts w:ascii="Times New Roman" w:hAnsi="Times New Roman" w:cs="Times New Roman"/>
          <w:sz w:val="24"/>
          <w:szCs w:val="24"/>
        </w:rPr>
        <w:t xml:space="preserve">bylo </w:t>
      </w:r>
      <w:r w:rsidR="00B1589E">
        <w:rPr>
          <w:rFonts w:ascii="Times New Roman" w:hAnsi="Times New Roman" w:cs="Times New Roman"/>
          <w:sz w:val="24"/>
          <w:szCs w:val="24"/>
        </w:rPr>
        <w:t xml:space="preserve">možné vysledovat určité odlišnosti v citlivosti cen </w:t>
      </w:r>
      <w:r w:rsidR="004452B5">
        <w:rPr>
          <w:rFonts w:ascii="Times New Roman" w:hAnsi="Times New Roman" w:cs="Times New Roman"/>
          <w:sz w:val="24"/>
          <w:szCs w:val="24"/>
        </w:rPr>
        <w:t>nemovitostí na vybrané faktory u</w:t>
      </w:r>
      <w:r w:rsidR="00B1589E">
        <w:rPr>
          <w:rFonts w:ascii="Times New Roman" w:hAnsi="Times New Roman" w:cs="Times New Roman"/>
          <w:sz w:val="24"/>
          <w:szCs w:val="24"/>
        </w:rPr>
        <w:t> </w:t>
      </w:r>
      <w:r w:rsidR="004452B5">
        <w:rPr>
          <w:rFonts w:ascii="Times New Roman" w:hAnsi="Times New Roman" w:cs="Times New Roman"/>
          <w:sz w:val="24"/>
          <w:szCs w:val="24"/>
        </w:rPr>
        <w:t>zemí</w:t>
      </w:r>
      <w:r w:rsidR="00D55334">
        <w:rPr>
          <w:rFonts w:ascii="Times New Roman" w:hAnsi="Times New Roman" w:cs="Times New Roman"/>
          <w:sz w:val="24"/>
          <w:szCs w:val="24"/>
        </w:rPr>
        <w:t>, které prošly</w:t>
      </w:r>
      <w:r w:rsidR="00B1589E">
        <w:rPr>
          <w:rFonts w:ascii="Times New Roman" w:hAnsi="Times New Roman" w:cs="Times New Roman"/>
          <w:sz w:val="24"/>
          <w:szCs w:val="24"/>
        </w:rPr>
        <w:t xml:space="preserve"> transfo</w:t>
      </w:r>
      <w:r w:rsidR="004452B5">
        <w:rPr>
          <w:rFonts w:ascii="Times New Roman" w:hAnsi="Times New Roman" w:cs="Times New Roman"/>
          <w:sz w:val="24"/>
          <w:szCs w:val="24"/>
        </w:rPr>
        <w:t>rmací</w:t>
      </w:r>
      <w:r w:rsidR="00B1589E">
        <w:rPr>
          <w:rFonts w:ascii="Times New Roman" w:hAnsi="Times New Roman" w:cs="Times New Roman"/>
          <w:sz w:val="24"/>
          <w:szCs w:val="24"/>
        </w:rPr>
        <w:t xml:space="preserve"> ekonomik</w:t>
      </w:r>
      <w:r>
        <w:rPr>
          <w:rFonts w:ascii="Times New Roman" w:hAnsi="Times New Roman" w:cs="Times New Roman"/>
          <w:sz w:val="24"/>
          <w:szCs w:val="24"/>
        </w:rPr>
        <w:t xml:space="preserve"> (Bulharsko, Česko, Chorvatsko)</w:t>
      </w:r>
      <w:r w:rsidR="00B1589E">
        <w:rPr>
          <w:rFonts w:ascii="Times New Roman" w:hAnsi="Times New Roman" w:cs="Times New Roman"/>
          <w:sz w:val="24"/>
          <w:szCs w:val="24"/>
        </w:rPr>
        <w:t xml:space="preserve"> a v zemích vyspělých ekonomik. Tyto rozdíly se v čase, především p</w:t>
      </w:r>
      <w:r w:rsidR="004452B5">
        <w:rPr>
          <w:rFonts w:ascii="Times New Roman" w:hAnsi="Times New Roman" w:cs="Times New Roman"/>
          <w:sz w:val="24"/>
          <w:szCs w:val="24"/>
        </w:rPr>
        <w:t>o vstupu všech zkoumaných zemí</w:t>
      </w:r>
      <w:r w:rsidR="00B1589E">
        <w:rPr>
          <w:rFonts w:ascii="Times New Roman" w:hAnsi="Times New Roman" w:cs="Times New Roman"/>
          <w:sz w:val="24"/>
          <w:szCs w:val="24"/>
        </w:rPr>
        <w:t xml:space="preserve"> do EU</w:t>
      </w:r>
      <w:r w:rsidR="00857C43">
        <w:rPr>
          <w:rFonts w:ascii="Times New Roman" w:hAnsi="Times New Roman" w:cs="Times New Roman"/>
          <w:sz w:val="24"/>
          <w:szCs w:val="24"/>
        </w:rPr>
        <w:t>, smazaly. Nadále tak lze</w:t>
      </w:r>
      <w:r w:rsidR="00B1589E">
        <w:rPr>
          <w:rFonts w:ascii="Times New Roman" w:hAnsi="Times New Roman" w:cs="Times New Roman"/>
          <w:sz w:val="24"/>
          <w:szCs w:val="24"/>
        </w:rPr>
        <w:t xml:space="preserve"> usuzovat, že faktory determinující ceny na re</w:t>
      </w:r>
      <w:r w:rsidR="004452B5">
        <w:rPr>
          <w:rFonts w:ascii="Times New Roman" w:hAnsi="Times New Roman" w:cs="Times New Roman"/>
          <w:sz w:val="24"/>
          <w:szCs w:val="24"/>
        </w:rPr>
        <w:t>a</w:t>
      </w:r>
      <w:r w:rsidR="00B1589E">
        <w:rPr>
          <w:rFonts w:ascii="Times New Roman" w:hAnsi="Times New Roman" w:cs="Times New Roman"/>
          <w:sz w:val="24"/>
          <w:szCs w:val="24"/>
        </w:rPr>
        <w:t xml:space="preserve">litních </w:t>
      </w:r>
      <w:r w:rsidR="00D55334">
        <w:rPr>
          <w:rFonts w:ascii="Times New Roman" w:hAnsi="Times New Roman" w:cs="Times New Roman"/>
          <w:sz w:val="24"/>
          <w:szCs w:val="24"/>
        </w:rPr>
        <w:t xml:space="preserve">trzích </w:t>
      </w:r>
      <w:r w:rsidR="00C775B6">
        <w:rPr>
          <w:rFonts w:ascii="Times New Roman" w:hAnsi="Times New Roman" w:cs="Times New Roman"/>
          <w:sz w:val="24"/>
          <w:szCs w:val="24"/>
        </w:rPr>
        <w:t>„</w:t>
      </w:r>
      <w:proofErr w:type="spellStart"/>
      <w:r w:rsidR="00D55334">
        <w:rPr>
          <w:rFonts w:ascii="Times New Roman" w:hAnsi="Times New Roman" w:cs="Times New Roman"/>
          <w:sz w:val="24"/>
          <w:szCs w:val="24"/>
        </w:rPr>
        <w:t>pos</w:t>
      </w:r>
      <w:r w:rsidR="004452B5">
        <w:rPr>
          <w:rFonts w:ascii="Times New Roman" w:hAnsi="Times New Roman" w:cs="Times New Roman"/>
          <w:sz w:val="24"/>
          <w:szCs w:val="24"/>
        </w:rPr>
        <w:t>t</w:t>
      </w:r>
      <w:r w:rsidR="00C775B6">
        <w:rPr>
          <w:rFonts w:ascii="Times New Roman" w:hAnsi="Times New Roman" w:cs="Times New Roman"/>
          <w:sz w:val="24"/>
          <w:szCs w:val="24"/>
        </w:rPr>
        <w:t>t</w:t>
      </w:r>
      <w:r w:rsidR="004452B5">
        <w:rPr>
          <w:rFonts w:ascii="Times New Roman" w:hAnsi="Times New Roman" w:cs="Times New Roman"/>
          <w:sz w:val="24"/>
          <w:szCs w:val="24"/>
        </w:rPr>
        <w:t>ranformačních</w:t>
      </w:r>
      <w:proofErr w:type="spellEnd"/>
      <w:r w:rsidR="00C775B6">
        <w:rPr>
          <w:rFonts w:ascii="Times New Roman" w:hAnsi="Times New Roman" w:cs="Times New Roman"/>
          <w:sz w:val="24"/>
          <w:szCs w:val="24"/>
        </w:rPr>
        <w:t>“</w:t>
      </w:r>
      <w:r w:rsidR="004452B5">
        <w:rPr>
          <w:rFonts w:ascii="Times New Roman" w:hAnsi="Times New Roman" w:cs="Times New Roman"/>
          <w:sz w:val="24"/>
          <w:szCs w:val="24"/>
        </w:rPr>
        <w:t xml:space="preserve"> zemí </w:t>
      </w:r>
      <w:r w:rsidR="00857C43">
        <w:rPr>
          <w:rFonts w:ascii="Times New Roman" w:hAnsi="Times New Roman" w:cs="Times New Roman"/>
          <w:sz w:val="24"/>
          <w:szCs w:val="24"/>
        </w:rPr>
        <w:lastRenderedPageBreak/>
        <w:t xml:space="preserve">jsou </w:t>
      </w:r>
      <w:r w:rsidR="00B1589E">
        <w:rPr>
          <w:rFonts w:ascii="Times New Roman" w:hAnsi="Times New Roman" w:cs="Times New Roman"/>
          <w:sz w:val="24"/>
          <w:szCs w:val="24"/>
        </w:rPr>
        <w:t>totožné</w:t>
      </w:r>
      <w:r w:rsidR="004452B5">
        <w:rPr>
          <w:rFonts w:ascii="Times New Roman" w:hAnsi="Times New Roman" w:cs="Times New Roman"/>
          <w:sz w:val="24"/>
          <w:szCs w:val="24"/>
        </w:rPr>
        <w:t xml:space="preserve"> s realitními trhy bývalé evrop</w:t>
      </w:r>
      <w:r w:rsidR="00D55334">
        <w:rPr>
          <w:rFonts w:ascii="Times New Roman" w:hAnsi="Times New Roman" w:cs="Times New Roman"/>
          <w:sz w:val="24"/>
          <w:szCs w:val="24"/>
        </w:rPr>
        <w:t xml:space="preserve">ské „dvanáctky“ </w:t>
      </w:r>
      <w:r w:rsidR="000C1988">
        <w:rPr>
          <w:rFonts w:ascii="Times New Roman" w:hAnsi="Times New Roman" w:cs="Times New Roman"/>
          <w:sz w:val="24"/>
          <w:szCs w:val="24"/>
        </w:rPr>
        <w:t>(</w:t>
      </w:r>
      <w:r w:rsidR="000C1988">
        <w:rPr>
          <w:rFonts w:ascii="Times New Roman" w:eastAsia="Arial Unicode MS" w:hAnsi="Times New Roman" w:cs="Times New Roman"/>
          <w:sz w:val="24"/>
          <w:szCs w:val="24"/>
          <w:bdr w:val="nil"/>
          <w:lang w:val="en-GB"/>
        </w:rPr>
        <w:t xml:space="preserve">Whitehead, Scanlon, </w:t>
      </w:r>
      <w:proofErr w:type="spellStart"/>
      <w:r w:rsidR="000C1988">
        <w:rPr>
          <w:rFonts w:ascii="Times New Roman" w:eastAsia="Arial Unicode MS" w:hAnsi="Times New Roman" w:cs="Times New Roman"/>
          <w:sz w:val="24"/>
          <w:szCs w:val="24"/>
          <w:bdr w:val="nil"/>
          <w:lang w:val="en-GB"/>
        </w:rPr>
        <w:t>Lunde</w:t>
      </w:r>
      <w:proofErr w:type="spellEnd"/>
      <w:r w:rsidR="000C1988">
        <w:rPr>
          <w:rFonts w:ascii="Times New Roman" w:eastAsia="Arial Unicode MS" w:hAnsi="Times New Roman" w:cs="Times New Roman"/>
          <w:sz w:val="24"/>
          <w:szCs w:val="24"/>
          <w:bdr w:val="nil"/>
          <w:lang w:val="en-GB"/>
        </w:rPr>
        <w:t xml:space="preserve">, </w:t>
      </w:r>
      <w:r w:rsidR="000C1988" w:rsidRPr="000C1988">
        <w:rPr>
          <w:rFonts w:ascii="Times New Roman" w:eastAsia="Arial Unicode MS" w:hAnsi="Times New Roman" w:cs="Times New Roman"/>
          <w:sz w:val="24"/>
          <w:szCs w:val="24"/>
          <w:bdr w:val="nil"/>
          <w:lang w:val="en-GB"/>
        </w:rPr>
        <w:t>2014</w:t>
      </w:r>
      <w:r w:rsidR="000C1988">
        <w:rPr>
          <w:rFonts w:ascii="Times New Roman" w:eastAsia="Arial Unicode MS" w:hAnsi="Times New Roman" w:cs="Times New Roman"/>
          <w:sz w:val="24"/>
          <w:szCs w:val="24"/>
          <w:bdr w:val="nil"/>
          <w:lang w:val="en-GB"/>
        </w:rPr>
        <w:t>)</w:t>
      </w:r>
      <w:r w:rsidR="00B1589E">
        <w:rPr>
          <w:rFonts w:ascii="Times New Roman" w:hAnsi="Times New Roman" w:cs="Times New Roman"/>
          <w:sz w:val="24"/>
          <w:szCs w:val="24"/>
        </w:rPr>
        <w:t xml:space="preserve"> </w:t>
      </w:r>
      <w:r w:rsidR="000C1988">
        <w:rPr>
          <w:rFonts w:ascii="Times New Roman" w:hAnsi="Times New Roman" w:cs="Times New Roman"/>
          <w:sz w:val="24"/>
          <w:szCs w:val="24"/>
        </w:rPr>
        <w:t>a že</w:t>
      </w:r>
      <w:r w:rsidR="004452B5">
        <w:rPr>
          <w:rFonts w:ascii="Times New Roman" w:hAnsi="Times New Roman" w:cs="Times New Roman"/>
          <w:sz w:val="24"/>
          <w:szCs w:val="24"/>
        </w:rPr>
        <w:t xml:space="preserve"> lze sledovat pouze</w:t>
      </w:r>
      <w:r w:rsidR="000C1988">
        <w:rPr>
          <w:rFonts w:ascii="Times New Roman" w:hAnsi="Times New Roman" w:cs="Times New Roman"/>
          <w:sz w:val="24"/>
          <w:szCs w:val="24"/>
        </w:rPr>
        <w:t xml:space="preserve"> rozdílný</w:t>
      </w:r>
      <w:r w:rsidR="00B1589E">
        <w:rPr>
          <w:rFonts w:ascii="Times New Roman" w:hAnsi="Times New Roman" w:cs="Times New Roman"/>
          <w:sz w:val="24"/>
          <w:szCs w:val="24"/>
        </w:rPr>
        <w:t xml:space="preserve"> vývoj</w:t>
      </w:r>
      <w:r w:rsidR="004452B5">
        <w:rPr>
          <w:rFonts w:ascii="Times New Roman" w:hAnsi="Times New Roman" w:cs="Times New Roman"/>
          <w:sz w:val="24"/>
          <w:szCs w:val="24"/>
        </w:rPr>
        <w:t xml:space="preserve"> těchto</w:t>
      </w:r>
      <w:r w:rsidR="000C1988">
        <w:rPr>
          <w:rFonts w:ascii="Times New Roman" w:hAnsi="Times New Roman" w:cs="Times New Roman"/>
          <w:sz w:val="24"/>
          <w:szCs w:val="24"/>
        </w:rPr>
        <w:t xml:space="preserve"> determinantů v jednotlivých zemích. Rozdílný vývoj determinantů pak způsobuje rozdílnou úroveň a vývoj</w:t>
      </w:r>
      <w:r w:rsidR="00B1589E">
        <w:rPr>
          <w:rFonts w:ascii="Times New Roman" w:hAnsi="Times New Roman" w:cs="Times New Roman"/>
          <w:sz w:val="24"/>
          <w:szCs w:val="24"/>
        </w:rPr>
        <w:t xml:space="preserve"> ce</w:t>
      </w:r>
      <w:r w:rsidR="000C1988">
        <w:rPr>
          <w:rFonts w:ascii="Times New Roman" w:hAnsi="Times New Roman" w:cs="Times New Roman"/>
          <w:sz w:val="24"/>
          <w:szCs w:val="24"/>
        </w:rPr>
        <w:t>n</w:t>
      </w:r>
      <w:r w:rsidR="00B1589E">
        <w:rPr>
          <w:rFonts w:ascii="Times New Roman" w:hAnsi="Times New Roman" w:cs="Times New Roman"/>
          <w:sz w:val="24"/>
          <w:szCs w:val="24"/>
        </w:rPr>
        <w:t xml:space="preserve"> nemovitostí ve vybraných zemích.   </w:t>
      </w:r>
      <w:r w:rsidR="00BD7489">
        <w:rPr>
          <w:rFonts w:ascii="Times New Roman" w:hAnsi="Times New Roman" w:cs="Times New Roman"/>
          <w:sz w:val="24"/>
          <w:szCs w:val="24"/>
        </w:rPr>
        <w:t xml:space="preserve">   </w:t>
      </w:r>
    </w:p>
    <w:p w:rsidR="00AB2748" w:rsidRPr="00AB2748" w:rsidRDefault="00AB2748" w:rsidP="00FC3D2F">
      <w:pPr>
        <w:spacing w:line="360" w:lineRule="auto"/>
        <w:jc w:val="both"/>
        <w:rPr>
          <w:rFonts w:ascii="Times New Roman" w:hAnsi="Times New Roman" w:cs="Times New Roman"/>
          <w:b/>
          <w:sz w:val="28"/>
          <w:szCs w:val="28"/>
        </w:rPr>
      </w:pPr>
      <w:r w:rsidRPr="00AB2748">
        <w:rPr>
          <w:rFonts w:ascii="Times New Roman" w:hAnsi="Times New Roman" w:cs="Times New Roman"/>
          <w:b/>
          <w:sz w:val="28"/>
          <w:szCs w:val="28"/>
        </w:rPr>
        <w:t xml:space="preserve">1. </w:t>
      </w:r>
      <w:r w:rsidR="00D55334">
        <w:rPr>
          <w:rFonts w:ascii="Times New Roman" w:hAnsi="Times New Roman" w:cs="Times New Roman"/>
          <w:b/>
          <w:sz w:val="28"/>
          <w:szCs w:val="28"/>
        </w:rPr>
        <w:t>K</w:t>
      </w:r>
      <w:r w:rsidRPr="00AB2748">
        <w:rPr>
          <w:rFonts w:ascii="Times New Roman" w:hAnsi="Times New Roman" w:cs="Times New Roman"/>
          <w:b/>
          <w:sz w:val="28"/>
          <w:szCs w:val="28"/>
        </w:rPr>
        <w:t>omparace</w:t>
      </w:r>
      <w:r w:rsidR="00C775B6">
        <w:rPr>
          <w:rFonts w:ascii="Times New Roman" w:hAnsi="Times New Roman" w:cs="Times New Roman"/>
          <w:b/>
          <w:sz w:val="28"/>
          <w:szCs w:val="28"/>
        </w:rPr>
        <w:t xml:space="preserve"> determinantů realitních trhů</w:t>
      </w:r>
      <w:r w:rsidRPr="00AB2748">
        <w:rPr>
          <w:rFonts w:ascii="Times New Roman" w:hAnsi="Times New Roman" w:cs="Times New Roman"/>
          <w:b/>
          <w:sz w:val="28"/>
          <w:szCs w:val="28"/>
        </w:rPr>
        <w:t xml:space="preserve"> zemí V4</w:t>
      </w:r>
    </w:p>
    <w:p w:rsidR="00EF380A" w:rsidRDefault="00BD7489" w:rsidP="00FC3D2F">
      <w:pPr>
        <w:spacing w:line="360" w:lineRule="auto"/>
        <w:jc w:val="both"/>
        <w:rPr>
          <w:rFonts w:ascii="Times New Roman" w:hAnsi="Times New Roman" w:cs="Times New Roman"/>
          <w:sz w:val="24"/>
          <w:szCs w:val="24"/>
        </w:rPr>
      </w:pPr>
      <w:r>
        <w:rPr>
          <w:rFonts w:ascii="Times New Roman" w:hAnsi="Times New Roman" w:cs="Times New Roman"/>
          <w:sz w:val="24"/>
          <w:szCs w:val="24"/>
        </w:rPr>
        <w:t>Po roce 2000</w:t>
      </w:r>
      <w:r w:rsidR="00EF380A">
        <w:rPr>
          <w:rFonts w:ascii="Times New Roman" w:hAnsi="Times New Roman" w:cs="Times New Roman"/>
          <w:sz w:val="24"/>
          <w:szCs w:val="24"/>
        </w:rPr>
        <w:t xml:space="preserve"> došlo </w:t>
      </w:r>
      <w:r w:rsidR="00057D67">
        <w:rPr>
          <w:rFonts w:ascii="Times New Roman" w:hAnsi="Times New Roman" w:cs="Times New Roman"/>
          <w:sz w:val="24"/>
          <w:szCs w:val="24"/>
        </w:rPr>
        <w:t xml:space="preserve">v každé ze sledovaných zemí </w:t>
      </w:r>
      <w:r w:rsidR="00EF380A">
        <w:rPr>
          <w:rFonts w:ascii="Times New Roman" w:hAnsi="Times New Roman" w:cs="Times New Roman"/>
          <w:sz w:val="24"/>
          <w:szCs w:val="24"/>
        </w:rPr>
        <w:t>k</w:t>
      </w:r>
      <w:r w:rsidR="00057D67">
        <w:rPr>
          <w:rFonts w:ascii="Times New Roman" w:hAnsi="Times New Roman" w:cs="Times New Roman"/>
          <w:sz w:val="24"/>
          <w:szCs w:val="24"/>
        </w:rPr>
        <w:t xml:space="preserve"> silnému </w:t>
      </w:r>
      <w:r w:rsidR="00D55334">
        <w:rPr>
          <w:rFonts w:ascii="Times New Roman" w:hAnsi="Times New Roman" w:cs="Times New Roman"/>
          <w:sz w:val="24"/>
          <w:szCs w:val="24"/>
        </w:rPr>
        <w:t>ná</w:t>
      </w:r>
      <w:r w:rsidR="00EF380A">
        <w:rPr>
          <w:rFonts w:ascii="Times New Roman" w:hAnsi="Times New Roman" w:cs="Times New Roman"/>
          <w:sz w:val="24"/>
          <w:szCs w:val="24"/>
        </w:rPr>
        <w:t xml:space="preserve">růstu </w:t>
      </w:r>
      <w:r w:rsidR="00D55334">
        <w:rPr>
          <w:rFonts w:ascii="Times New Roman" w:hAnsi="Times New Roman" w:cs="Times New Roman"/>
          <w:sz w:val="24"/>
          <w:szCs w:val="24"/>
        </w:rPr>
        <w:t>cen nemovitostí, což přináší</w:t>
      </w:r>
      <w:r w:rsidR="00057D67">
        <w:rPr>
          <w:rFonts w:ascii="Times New Roman" w:hAnsi="Times New Roman" w:cs="Times New Roman"/>
          <w:sz w:val="24"/>
          <w:szCs w:val="24"/>
        </w:rPr>
        <w:t xml:space="preserve"> obavy v souvislosti s dostupností bydlení, především z pohledu </w:t>
      </w:r>
      <w:proofErr w:type="spellStart"/>
      <w:r w:rsidR="00057D67">
        <w:rPr>
          <w:rFonts w:ascii="Times New Roman" w:hAnsi="Times New Roman" w:cs="Times New Roman"/>
          <w:sz w:val="24"/>
          <w:szCs w:val="24"/>
        </w:rPr>
        <w:t>nízkopříjmových</w:t>
      </w:r>
      <w:proofErr w:type="spellEnd"/>
      <w:r w:rsidR="00057D67">
        <w:rPr>
          <w:rFonts w:ascii="Times New Roman" w:hAnsi="Times New Roman" w:cs="Times New Roman"/>
          <w:sz w:val="24"/>
          <w:szCs w:val="24"/>
        </w:rPr>
        <w:t xml:space="preserve"> domácností.</w:t>
      </w:r>
      <w:r w:rsidR="00D55334">
        <w:rPr>
          <w:rFonts w:ascii="Times New Roman" w:hAnsi="Times New Roman" w:cs="Times New Roman"/>
          <w:sz w:val="24"/>
          <w:szCs w:val="24"/>
        </w:rPr>
        <w:t xml:space="preserve"> Výjimkou byl propad a stagnace cen v období finanční </w:t>
      </w:r>
      <w:r w:rsidR="00B96C7C">
        <w:rPr>
          <w:rFonts w:ascii="Times New Roman" w:hAnsi="Times New Roman" w:cs="Times New Roman"/>
          <w:sz w:val="24"/>
          <w:szCs w:val="24"/>
        </w:rPr>
        <w:t xml:space="preserve">a dluhové </w:t>
      </w:r>
      <w:r w:rsidR="00D55334">
        <w:rPr>
          <w:rFonts w:ascii="Times New Roman" w:hAnsi="Times New Roman" w:cs="Times New Roman"/>
          <w:sz w:val="24"/>
          <w:szCs w:val="24"/>
        </w:rPr>
        <w:t>k</w:t>
      </w:r>
      <w:r w:rsidR="00B96C7C">
        <w:rPr>
          <w:rFonts w:ascii="Times New Roman" w:hAnsi="Times New Roman" w:cs="Times New Roman"/>
          <w:sz w:val="24"/>
          <w:szCs w:val="24"/>
        </w:rPr>
        <w:t>rize (rozuměj období 2009 – 2012</w:t>
      </w:r>
      <w:r w:rsidR="00D55334">
        <w:rPr>
          <w:rFonts w:ascii="Times New Roman" w:hAnsi="Times New Roman" w:cs="Times New Roman"/>
          <w:sz w:val="24"/>
          <w:szCs w:val="24"/>
        </w:rPr>
        <w:t>), který se ovšem opět zlomil v nebývalý růst cen trva</w:t>
      </w:r>
      <w:r w:rsidR="00B96C7C">
        <w:rPr>
          <w:rFonts w:ascii="Times New Roman" w:hAnsi="Times New Roman" w:cs="Times New Roman"/>
          <w:sz w:val="24"/>
          <w:szCs w:val="24"/>
        </w:rPr>
        <w:t>jící prakticky až do třetího čtvrtletí roku 2022</w:t>
      </w:r>
      <w:r w:rsidR="00D55334">
        <w:rPr>
          <w:rFonts w:ascii="Times New Roman" w:hAnsi="Times New Roman" w:cs="Times New Roman"/>
          <w:sz w:val="24"/>
          <w:szCs w:val="24"/>
        </w:rPr>
        <w:t xml:space="preserve">. </w:t>
      </w:r>
      <w:r w:rsidR="00057D67">
        <w:rPr>
          <w:rFonts w:ascii="Times New Roman" w:hAnsi="Times New Roman" w:cs="Times New Roman"/>
          <w:sz w:val="24"/>
          <w:szCs w:val="24"/>
        </w:rPr>
        <w:t xml:space="preserve">Vlády se </w:t>
      </w:r>
      <w:r w:rsidR="00B96C7C">
        <w:rPr>
          <w:rFonts w:ascii="Times New Roman" w:hAnsi="Times New Roman" w:cs="Times New Roman"/>
          <w:sz w:val="24"/>
          <w:szCs w:val="24"/>
        </w:rPr>
        <w:t xml:space="preserve">snažily a nadále </w:t>
      </w:r>
      <w:r w:rsidR="00057D67">
        <w:rPr>
          <w:rFonts w:ascii="Times New Roman" w:hAnsi="Times New Roman" w:cs="Times New Roman"/>
          <w:sz w:val="24"/>
          <w:szCs w:val="24"/>
        </w:rPr>
        <w:t>snaží na tuto hrozbu reagovat jak na straně nabídky, tj. podporou výsta</w:t>
      </w:r>
      <w:r>
        <w:rPr>
          <w:rFonts w:ascii="Times New Roman" w:hAnsi="Times New Roman" w:cs="Times New Roman"/>
          <w:sz w:val="24"/>
          <w:szCs w:val="24"/>
        </w:rPr>
        <w:t>vby, tak na straně poptávky, tj.</w:t>
      </w:r>
      <w:r w:rsidR="00057D67">
        <w:rPr>
          <w:rFonts w:ascii="Times New Roman" w:hAnsi="Times New Roman" w:cs="Times New Roman"/>
          <w:sz w:val="24"/>
          <w:szCs w:val="24"/>
        </w:rPr>
        <w:t xml:space="preserve"> poskytují různé formy finančních podpor a úlev. Snaží se tak reagovat na </w:t>
      </w:r>
      <w:r>
        <w:rPr>
          <w:rFonts w:ascii="Times New Roman" w:hAnsi="Times New Roman" w:cs="Times New Roman"/>
          <w:sz w:val="24"/>
          <w:szCs w:val="24"/>
        </w:rPr>
        <w:t xml:space="preserve">možné </w:t>
      </w:r>
      <w:r w:rsidR="00057D67">
        <w:rPr>
          <w:rFonts w:ascii="Times New Roman" w:hAnsi="Times New Roman" w:cs="Times New Roman"/>
          <w:sz w:val="24"/>
          <w:szCs w:val="24"/>
        </w:rPr>
        <w:t xml:space="preserve">faktory, které rychlý vzestup cen přináší.  </w:t>
      </w:r>
    </w:p>
    <w:p w:rsidR="00057D67" w:rsidRDefault="00AB2748" w:rsidP="00FC3D2F">
      <w:pPr>
        <w:spacing w:line="360" w:lineRule="auto"/>
        <w:jc w:val="both"/>
        <w:rPr>
          <w:rFonts w:ascii="Times New Roman" w:hAnsi="Times New Roman" w:cs="Times New Roman"/>
          <w:sz w:val="24"/>
          <w:szCs w:val="24"/>
        </w:rPr>
      </w:pPr>
      <w:r w:rsidRPr="00AB2748">
        <w:rPr>
          <w:rFonts w:ascii="Times New Roman" w:hAnsi="Times New Roman" w:cs="Times New Roman"/>
          <w:sz w:val="24"/>
          <w:szCs w:val="24"/>
        </w:rPr>
        <w:t>V souvislosti s vývojem cen nemovitostí</w:t>
      </w:r>
      <w:r w:rsidR="008C7F06">
        <w:rPr>
          <w:rFonts w:ascii="Times New Roman" w:hAnsi="Times New Roman" w:cs="Times New Roman"/>
          <w:sz w:val="24"/>
          <w:szCs w:val="24"/>
        </w:rPr>
        <w:t xml:space="preserve"> (kupní ceny a ceny nájmů bytů)</w:t>
      </w:r>
      <w:r w:rsidR="00057D67">
        <w:rPr>
          <w:rFonts w:ascii="Times New Roman" w:hAnsi="Times New Roman" w:cs="Times New Roman"/>
          <w:sz w:val="24"/>
          <w:szCs w:val="24"/>
        </w:rPr>
        <w:t xml:space="preserve">, </w:t>
      </w:r>
      <w:r w:rsidR="008C7F06">
        <w:rPr>
          <w:rFonts w:ascii="Times New Roman" w:hAnsi="Times New Roman" w:cs="Times New Roman"/>
          <w:sz w:val="24"/>
          <w:szCs w:val="24"/>
        </w:rPr>
        <w:t>je</w:t>
      </w:r>
      <w:r w:rsidR="00B96C7C">
        <w:rPr>
          <w:rFonts w:ascii="Times New Roman" w:hAnsi="Times New Roman" w:cs="Times New Roman"/>
          <w:sz w:val="24"/>
          <w:szCs w:val="24"/>
        </w:rPr>
        <w:t xml:space="preserve"> pak vhodné u</w:t>
      </w:r>
      <w:r w:rsidR="008C7F06">
        <w:rPr>
          <w:rFonts w:ascii="Times New Roman" w:hAnsi="Times New Roman" w:cs="Times New Roman"/>
          <w:sz w:val="24"/>
          <w:szCs w:val="24"/>
        </w:rPr>
        <w:t xml:space="preserve"> vybraných zemí </w:t>
      </w:r>
      <w:r w:rsidR="00B96C7C">
        <w:rPr>
          <w:rFonts w:ascii="Times New Roman" w:hAnsi="Times New Roman" w:cs="Times New Roman"/>
          <w:sz w:val="24"/>
          <w:szCs w:val="24"/>
        </w:rPr>
        <w:t>sledovat a případně srovnávat vývoj</w:t>
      </w:r>
      <w:r w:rsidR="008C7F06">
        <w:rPr>
          <w:rFonts w:ascii="Times New Roman" w:hAnsi="Times New Roman" w:cs="Times New Roman"/>
          <w:sz w:val="24"/>
          <w:szCs w:val="24"/>
        </w:rPr>
        <w:t xml:space="preserve"> </w:t>
      </w:r>
      <w:r w:rsidR="00BD7489">
        <w:rPr>
          <w:rFonts w:ascii="Times New Roman" w:hAnsi="Times New Roman" w:cs="Times New Roman"/>
          <w:sz w:val="24"/>
          <w:szCs w:val="24"/>
        </w:rPr>
        <w:t xml:space="preserve">vybraných </w:t>
      </w:r>
      <w:r w:rsidR="008C7F06">
        <w:rPr>
          <w:rFonts w:ascii="Times New Roman" w:hAnsi="Times New Roman" w:cs="Times New Roman"/>
          <w:sz w:val="24"/>
          <w:szCs w:val="24"/>
        </w:rPr>
        <w:t>demografických a eko</w:t>
      </w:r>
      <w:r w:rsidR="00BD7489">
        <w:rPr>
          <w:rFonts w:ascii="Times New Roman" w:hAnsi="Times New Roman" w:cs="Times New Roman"/>
          <w:sz w:val="24"/>
          <w:szCs w:val="24"/>
        </w:rPr>
        <w:t xml:space="preserve">nomických ukazatelů, které </w:t>
      </w:r>
      <w:r w:rsidR="008C7F06">
        <w:rPr>
          <w:rFonts w:ascii="Times New Roman" w:hAnsi="Times New Roman" w:cs="Times New Roman"/>
          <w:sz w:val="24"/>
          <w:szCs w:val="24"/>
        </w:rPr>
        <w:t>ceny</w:t>
      </w:r>
      <w:r w:rsidR="00BD7489">
        <w:rPr>
          <w:rFonts w:ascii="Times New Roman" w:hAnsi="Times New Roman" w:cs="Times New Roman"/>
          <w:sz w:val="24"/>
          <w:szCs w:val="24"/>
        </w:rPr>
        <w:t xml:space="preserve"> na realitních trzích</w:t>
      </w:r>
      <w:r w:rsidR="008C7F06">
        <w:rPr>
          <w:rFonts w:ascii="Times New Roman" w:hAnsi="Times New Roman" w:cs="Times New Roman"/>
          <w:sz w:val="24"/>
          <w:szCs w:val="24"/>
        </w:rPr>
        <w:t xml:space="preserve"> signifikantně determinují. </w:t>
      </w:r>
      <w:r w:rsidR="00B96C7C">
        <w:rPr>
          <w:rFonts w:ascii="Times New Roman" w:hAnsi="Times New Roman" w:cs="Times New Roman"/>
          <w:sz w:val="24"/>
          <w:szCs w:val="24"/>
        </w:rPr>
        <w:t>Jak výše</w:t>
      </w:r>
      <w:r w:rsidR="00BD7489">
        <w:rPr>
          <w:rFonts w:ascii="Times New Roman" w:hAnsi="Times New Roman" w:cs="Times New Roman"/>
          <w:sz w:val="24"/>
          <w:szCs w:val="24"/>
        </w:rPr>
        <w:t xml:space="preserve"> napsáno</w:t>
      </w:r>
      <w:r w:rsidR="00057D67">
        <w:rPr>
          <w:rFonts w:ascii="Times New Roman" w:hAnsi="Times New Roman" w:cs="Times New Roman"/>
          <w:sz w:val="24"/>
          <w:szCs w:val="24"/>
        </w:rPr>
        <w:t xml:space="preserve"> jde</w:t>
      </w:r>
      <w:r w:rsidR="00772959">
        <w:rPr>
          <w:rFonts w:ascii="Times New Roman" w:hAnsi="Times New Roman" w:cs="Times New Roman"/>
          <w:sz w:val="24"/>
          <w:szCs w:val="24"/>
        </w:rPr>
        <w:t xml:space="preserve"> o faktory jak na straně poptávky, tak na straně nabídky</w:t>
      </w:r>
      <w:r w:rsidR="00057D67">
        <w:rPr>
          <w:rFonts w:ascii="Times New Roman" w:hAnsi="Times New Roman" w:cs="Times New Roman"/>
          <w:sz w:val="24"/>
          <w:szCs w:val="24"/>
        </w:rPr>
        <w:t xml:space="preserve">. Přičemž se předpokládá, že poptávkové faktory ty nabídkové předbíhají v čase v řádu 4 až 6 měsíců. </w:t>
      </w:r>
    </w:p>
    <w:p w:rsidR="00AB2748" w:rsidRPr="00AB2748" w:rsidRDefault="00057D67" w:rsidP="00FC3D2F">
      <w:pPr>
        <w:spacing w:line="360" w:lineRule="auto"/>
        <w:jc w:val="both"/>
        <w:rPr>
          <w:rFonts w:ascii="Times New Roman" w:hAnsi="Times New Roman" w:cs="Times New Roman"/>
          <w:sz w:val="24"/>
          <w:szCs w:val="24"/>
        </w:rPr>
      </w:pPr>
      <w:r>
        <w:rPr>
          <w:rFonts w:ascii="Times New Roman" w:hAnsi="Times New Roman" w:cs="Times New Roman"/>
          <w:sz w:val="24"/>
          <w:szCs w:val="24"/>
        </w:rPr>
        <w:t>Komparace realitního trhu</w:t>
      </w:r>
      <w:r w:rsidR="00D37EFA">
        <w:rPr>
          <w:rFonts w:ascii="Times New Roman" w:hAnsi="Times New Roman" w:cs="Times New Roman"/>
          <w:sz w:val="24"/>
          <w:szCs w:val="24"/>
        </w:rPr>
        <w:t xml:space="preserve"> zkoumaných zemí V4 se tedy</w:t>
      </w:r>
      <w:r>
        <w:rPr>
          <w:rFonts w:ascii="Times New Roman" w:hAnsi="Times New Roman" w:cs="Times New Roman"/>
          <w:sz w:val="24"/>
          <w:szCs w:val="24"/>
        </w:rPr>
        <w:t xml:space="preserve"> </w:t>
      </w:r>
      <w:r w:rsidR="00D37EFA">
        <w:rPr>
          <w:rFonts w:ascii="Times New Roman" w:hAnsi="Times New Roman" w:cs="Times New Roman"/>
          <w:sz w:val="24"/>
          <w:szCs w:val="24"/>
        </w:rPr>
        <w:t xml:space="preserve">měla </w:t>
      </w:r>
      <w:r>
        <w:rPr>
          <w:rFonts w:ascii="Times New Roman" w:hAnsi="Times New Roman" w:cs="Times New Roman"/>
          <w:sz w:val="24"/>
          <w:szCs w:val="24"/>
        </w:rPr>
        <w:t>zákonitě nejdříve věnovat srovnání vývoje c</w:t>
      </w:r>
      <w:r w:rsidR="00D37EFA">
        <w:rPr>
          <w:rFonts w:ascii="Times New Roman" w:hAnsi="Times New Roman" w:cs="Times New Roman"/>
          <w:sz w:val="24"/>
          <w:szCs w:val="24"/>
        </w:rPr>
        <w:t>en nemovitostí na těchto trzích a</w:t>
      </w:r>
      <w:r>
        <w:rPr>
          <w:rFonts w:ascii="Times New Roman" w:hAnsi="Times New Roman" w:cs="Times New Roman"/>
          <w:sz w:val="24"/>
          <w:szCs w:val="24"/>
        </w:rPr>
        <w:t xml:space="preserve"> následně pak srovnání vývoje faktorů, které směr a vývoj cen </w:t>
      </w:r>
      <w:r w:rsidR="00D55334">
        <w:rPr>
          <w:rFonts w:ascii="Times New Roman" w:hAnsi="Times New Roman" w:cs="Times New Roman"/>
          <w:sz w:val="24"/>
          <w:szCs w:val="24"/>
        </w:rPr>
        <w:t xml:space="preserve">nemovitostí </w:t>
      </w:r>
      <w:r w:rsidR="00CA0AB1">
        <w:rPr>
          <w:rFonts w:ascii="Times New Roman" w:hAnsi="Times New Roman" w:cs="Times New Roman"/>
          <w:sz w:val="24"/>
          <w:szCs w:val="24"/>
        </w:rPr>
        <w:t xml:space="preserve">prokazatelně </w:t>
      </w:r>
      <w:r w:rsidR="00D55334">
        <w:rPr>
          <w:rFonts w:ascii="Times New Roman" w:hAnsi="Times New Roman" w:cs="Times New Roman"/>
          <w:sz w:val="24"/>
          <w:szCs w:val="24"/>
        </w:rPr>
        <w:t>det</w:t>
      </w:r>
      <w:r w:rsidR="00D37EFA">
        <w:rPr>
          <w:rFonts w:ascii="Times New Roman" w:hAnsi="Times New Roman" w:cs="Times New Roman"/>
          <w:sz w:val="24"/>
          <w:szCs w:val="24"/>
        </w:rPr>
        <w:t>erminují. J</w:t>
      </w:r>
      <w:r w:rsidR="00D55334">
        <w:rPr>
          <w:rFonts w:ascii="Times New Roman" w:hAnsi="Times New Roman" w:cs="Times New Roman"/>
          <w:sz w:val="24"/>
          <w:szCs w:val="24"/>
        </w:rPr>
        <w:t>de o následující faktory:</w:t>
      </w:r>
      <w:r>
        <w:rPr>
          <w:rFonts w:ascii="Times New Roman" w:hAnsi="Times New Roman" w:cs="Times New Roman"/>
          <w:sz w:val="24"/>
          <w:szCs w:val="24"/>
        </w:rPr>
        <w:t xml:space="preserve"> vývoj</w:t>
      </w:r>
      <w:r w:rsidR="008C7F06">
        <w:rPr>
          <w:rFonts w:ascii="Times New Roman" w:hAnsi="Times New Roman" w:cs="Times New Roman"/>
          <w:sz w:val="24"/>
          <w:szCs w:val="24"/>
        </w:rPr>
        <w:t xml:space="preserve"> počtu obyvatel,</w:t>
      </w:r>
      <w:r>
        <w:rPr>
          <w:rFonts w:ascii="Times New Roman" w:hAnsi="Times New Roman" w:cs="Times New Roman"/>
          <w:sz w:val="24"/>
          <w:szCs w:val="24"/>
        </w:rPr>
        <w:t xml:space="preserve"> vývoj</w:t>
      </w:r>
      <w:r w:rsidR="008C7F06">
        <w:rPr>
          <w:rFonts w:ascii="Times New Roman" w:hAnsi="Times New Roman" w:cs="Times New Roman"/>
          <w:sz w:val="24"/>
          <w:szCs w:val="24"/>
        </w:rPr>
        <w:t xml:space="preserve"> </w:t>
      </w:r>
      <w:r w:rsidR="00D55334">
        <w:rPr>
          <w:rFonts w:ascii="Times New Roman" w:hAnsi="Times New Roman" w:cs="Times New Roman"/>
          <w:sz w:val="24"/>
          <w:szCs w:val="24"/>
        </w:rPr>
        <w:t xml:space="preserve">HDP, vývoj </w:t>
      </w:r>
      <w:r w:rsidR="008C7F06">
        <w:rPr>
          <w:rFonts w:ascii="Times New Roman" w:hAnsi="Times New Roman" w:cs="Times New Roman"/>
          <w:sz w:val="24"/>
          <w:szCs w:val="24"/>
        </w:rPr>
        <w:t>průměrných mezd,</w:t>
      </w:r>
      <w:r w:rsidR="00B80819">
        <w:rPr>
          <w:rFonts w:ascii="Times New Roman" w:hAnsi="Times New Roman" w:cs="Times New Roman"/>
          <w:sz w:val="24"/>
          <w:szCs w:val="24"/>
        </w:rPr>
        <w:t xml:space="preserve"> vývoj</w:t>
      </w:r>
      <w:r w:rsidR="00C775B6">
        <w:rPr>
          <w:rFonts w:ascii="Times New Roman" w:hAnsi="Times New Roman" w:cs="Times New Roman"/>
          <w:sz w:val="24"/>
          <w:szCs w:val="24"/>
        </w:rPr>
        <w:t xml:space="preserve"> inflace </w:t>
      </w:r>
      <w:r w:rsidR="00A17168">
        <w:rPr>
          <w:rFonts w:ascii="Times New Roman" w:hAnsi="Times New Roman" w:cs="Times New Roman"/>
          <w:sz w:val="24"/>
          <w:szCs w:val="24"/>
        </w:rPr>
        <w:t>a vývoj počtu dokončených bytových jednotek</w:t>
      </w:r>
      <w:r w:rsidR="00CA0AB1">
        <w:rPr>
          <w:rFonts w:ascii="Times New Roman" w:hAnsi="Times New Roman" w:cs="Times New Roman"/>
          <w:sz w:val="24"/>
          <w:szCs w:val="24"/>
        </w:rPr>
        <w:t xml:space="preserve">. </w:t>
      </w:r>
      <w:r w:rsidR="00AB2748" w:rsidRPr="00AB2748">
        <w:rPr>
          <w:rFonts w:ascii="Times New Roman" w:hAnsi="Times New Roman" w:cs="Times New Roman"/>
          <w:sz w:val="24"/>
          <w:szCs w:val="24"/>
        </w:rPr>
        <w:t xml:space="preserve"> </w:t>
      </w:r>
      <w:r w:rsidR="00CA0AB1">
        <w:rPr>
          <w:rFonts w:ascii="Times New Roman" w:hAnsi="Times New Roman" w:cs="Times New Roman"/>
          <w:sz w:val="24"/>
          <w:szCs w:val="24"/>
        </w:rPr>
        <w:t>(</w:t>
      </w:r>
      <w:proofErr w:type="spellStart"/>
      <w:r w:rsidR="00CA0AB1">
        <w:rPr>
          <w:rFonts w:ascii="Times New Roman" w:hAnsi="Times New Roman" w:cs="Times New Roman"/>
          <w:sz w:val="24"/>
          <w:szCs w:val="24"/>
        </w:rPr>
        <w:t>Uhman</w:t>
      </w:r>
      <w:proofErr w:type="spellEnd"/>
      <w:r w:rsidR="00CA0AB1">
        <w:rPr>
          <w:rFonts w:ascii="Times New Roman" w:hAnsi="Times New Roman" w:cs="Times New Roman"/>
          <w:sz w:val="24"/>
          <w:szCs w:val="24"/>
        </w:rPr>
        <w:t>, 2019)</w:t>
      </w:r>
    </w:p>
    <w:p w:rsidR="00EF380A" w:rsidRDefault="00EF380A" w:rsidP="00EF380A">
      <w:pPr>
        <w:pStyle w:val="Odstavecseseznamem"/>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Srovnání vývoje ceny nemovitostí</w:t>
      </w:r>
    </w:p>
    <w:p w:rsidR="008C5F44" w:rsidRDefault="00D37EFA" w:rsidP="00EF380A">
      <w:pPr>
        <w:spacing w:line="360" w:lineRule="auto"/>
        <w:jc w:val="both"/>
        <w:rPr>
          <w:rFonts w:ascii="Times New Roman" w:hAnsi="Times New Roman" w:cs="Times New Roman"/>
          <w:sz w:val="24"/>
          <w:szCs w:val="24"/>
        </w:rPr>
      </w:pPr>
      <w:r>
        <w:rPr>
          <w:rFonts w:ascii="Times New Roman" w:hAnsi="Times New Roman" w:cs="Times New Roman"/>
          <w:sz w:val="24"/>
          <w:szCs w:val="24"/>
        </w:rPr>
        <w:t>Vývoj cen nemovitostí a s nimi související</w:t>
      </w:r>
      <w:r w:rsidR="008C5F44">
        <w:rPr>
          <w:rFonts w:ascii="Times New Roman" w:hAnsi="Times New Roman" w:cs="Times New Roman"/>
          <w:sz w:val="24"/>
          <w:szCs w:val="24"/>
        </w:rPr>
        <w:t xml:space="preserve"> jejich dostupnost je kardinální otázkou ve všech porovnávanýc</w:t>
      </w:r>
      <w:r w:rsidR="00CA0AB1">
        <w:rPr>
          <w:rFonts w:ascii="Times New Roman" w:hAnsi="Times New Roman" w:cs="Times New Roman"/>
          <w:sz w:val="24"/>
          <w:szCs w:val="24"/>
        </w:rPr>
        <w:t xml:space="preserve">h zemích. Vývoj </w:t>
      </w:r>
      <w:r>
        <w:rPr>
          <w:rFonts w:ascii="Times New Roman" w:hAnsi="Times New Roman" w:cs="Times New Roman"/>
          <w:sz w:val="24"/>
          <w:szCs w:val="24"/>
        </w:rPr>
        <w:t>cen do roku</w:t>
      </w:r>
      <w:r w:rsidR="00CA0AB1">
        <w:rPr>
          <w:rFonts w:ascii="Times New Roman" w:hAnsi="Times New Roman" w:cs="Times New Roman"/>
          <w:sz w:val="24"/>
          <w:szCs w:val="24"/>
        </w:rPr>
        <w:t xml:space="preserve"> 2008 a</w:t>
      </w:r>
      <w:r w:rsidR="008C5F44">
        <w:rPr>
          <w:rFonts w:ascii="Times New Roman" w:hAnsi="Times New Roman" w:cs="Times New Roman"/>
          <w:sz w:val="24"/>
          <w:szCs w:val="24"/>
        </w:rPr>
        <w:t xml:space="preserve"> </w:t>
      </w:r>
      <w:r>
        <w:rPr>
          <w:rFonts w:ascii="Times New Roman" w:hAnsi="Times New Roman" w:cs="Times New Roman"/>
          <w:sz w:val="24"/>
          <w:szCs w:val="24"/>
        </w:rPr>
        <w:t>především jejich</w:t>
      </w:r>
      <w:r w:rsidR="008C5F44">
        <w:rPr>
          <w:rFonts w:ascii="Times New Roman" w:hAnsi="Times New Roman" w:cs="Times New Roman"/>
          <w:sz w:val="24"/>
          <w:szCs w:val="24"/>
        </w:rPr>
        <w:t xml:space="preserve"> dlouhotrvající </w:t>
      </w:r>
      <w:r>
        <w:rPr>
          <w:rFonts w:ascii="Times New Roman" w:hAnsi="Times New Roman" w:cs="Times New Roman"/>
          <w:sz w:val="24"/>
          <w:szCs w:val="24"/>
        </w:rPr>
        <w:t>růst</w:t>
      </w:r>
      <w:r w:rsidR="00CA0AB1">
        <w:rPr>
          <w:rFonts w:ascii="Times New Roman" w:hAnsi="Times New Roman" w:cs="Times New Roman"/>
          <w:sz w:val="24"/>
          <w:szCs w:val="24"/>
        </w:rPr>
        <w:t xml:space="preserve"> mezi lety 2014 a 2021 s</w:t>
      </w:r>
      <w:r w:rsidR="008C5F44">
        <w:rPr>
          <w:rFonts w:ascii="Times New Roman" w:hAnsi="Times New Roman" w:cs="Times New Roman"/>
          <w:sz w:val="24"/>
          <w:szCs w:val="24"/>
        </w:rPr>
        <w:t xml:space="preserve"> </w:t>
      </w:r>
      <w:r w:rsidR="00CA0AB1">
        <w:rPr>
          <w:rFonts w:ascii="Times New Roman" w:hAnsi="Times New Roman" w:cs="Times New Roman"/>
          <w:sz w:val="24"/>
          <w:szCs w:val="24"/>
        </w:rPr>
        <w:t>nadále prohlubující se nedostatečnou výstavbou bytových jednotek</w:t>
      </w:r>
      <w:r w:rsidR="008C5F44">
        <w:rPr>
          <w:rFonts w:ascii="Times New Roman" w:hAnsi="Times New Roman" w:cs="Times New Roman"/>
          <w:sz w:val="24"/>
          <w:szCs w:val="24"/>
        </w:rPr>
        <w:t xml:space="preserve"> na trhu způsobil, že se namísto</w:t>
      </w:r>
      <w:r w:rsidR="00CA0AB1">
        <w:rPr>
          <w:rFonts w:ascii="Times New Roman" w:hAnsi="Times New Roman" w:cs="Times New Roman"/>
          <w:sz w:val="24"/>
          <w:szCs w:val="24"/>
        </w:rPr>
        <w:t xml:space="preserve"> deklarovaného zlepšení</w:t>
      </w:r>
      <w:r w:rsidR="008C5F44">
        <w:rPr>
          <w:rFonts w:ascii="Times New Roman" w:hAnsi="Times New Roman" w:cs="Times New Roman"/>
          <w:sz w:val="24"/>
          <w:szCs w:val="24"/>
        </w:rPr>
        <w:t xml:space="preserve"> situace na trhu zhoršuje. Bydlení se především pro nízko příjmové skupiny obyvatel stává nedostupné, a to ne pouze ve smyslu jeho koupě tedy vlastnictví</w:t>
      </w:r>
      <w:r w:rsidR="00CA0AB1">
        <w:rPr>
          <w:rFonts w:ascii="Times New Roman" w:hAnsi="Times New Roman" w:cs="Times New Roman"/>
          <w:sz w:val="24"/>
          <w:szCs w:val="24"/>
        </w:rPr>
        <w:t>,</w:t>
      </w:r>
      <w:r w:rsidR="008C5F44">
        <w:rPr>
          <w:rFonts w:ascii="Times New Roman" w:hAnsi="Times New Roman" w:cs="Times New Roman"/>
          <w:sz w:val="24"/>
          <w:szCs w:val="24"/>
        </w:rPr>
        <w:t xml:space="preserve"> ale v posledních měsících také ve smyslu jeho nájmu či podnájmu. Navrhovaná či již aplikov</w:t>
      </w:r>
      <w:r w:rsidR="00CA0AB1">
        <w:rPr>
          <w:rFonts w:ascii="Times New Roman" w:hAnsi="Times New Roman" w:cs="Times New Roman"/>
          <w:sz w:val="24"/>
          <w:szCs w:val="24"/>
        </w:rPr>
        <w:t xml:space="preserve">aná opatření se zatím spíše míjejí účinkem, často jsou </w:t>
      </w:r>
      <w:r w:rsidR="00CA0AB1">
        <w:rPr>
          <w:rFonts w:ascii="Times New Roman" w:hAnsi="Times New Roman" w:cs="Times New Roman"/>
          <w:sz w:val="24"/>
          <w:szCs w:val="24"/>
        </w:rPr>
        <w:lastRenderedPageBreak/>
        <w:t>nedostatečná či</w:t>
      </w:r>
      <w:r w:rsidR="008C5F44">
        <w:rPr>
          <w:rFonts w:ascii="Times New Roman" w:hAnsi="Times New Roman" w:cs="Times New Roman"/>
          <w:sz w:val="24"/>
          <w:szCs w:val="24"/>
        </w:rPr>
        <w:t xml:space="preserve"> jdou proti </w:t>
      </w:r>
      <w:r w:rsidR="00CA0AB1">
        <w:rPr>
          <w:rFonts w:ascii="Times New Roman" w:hAnsi="Times New Roman" w:cs="Times New Roman"/>
          <w:sz w:val="24"/>
          <w:szCs w:val="24"/>
        </w:rPr>
        <w:t>svému předpokladu (vyšší dostupnost hypoték akceleruje cenu nemovitostí</w:t>
      </w:r>
      <w:r w:rsidR="003B76AF">
        <w:rPr>
          <w:rFonts w:ascii="Times New Roman" w:hAnsi="Times New Roman" w:cs="Times New Roman"/>
          <w:sz w:val="24"/>
          <w:szCs w:val="24"/>
        </w:rPr>
        <w:t>, nevytváří se přirozená rovnováha mezi nájemním a vlastnickým bydlením</w:t>
      </w:r>
      <w:r w:rsidR="00CA0AB1">
        <w:rPr>
          <w:rFonts w:ascii="Times New Roman" w:hAnsi="Times New Roman" w:cs="Times New Roman"/>
          <w:sz w:val="24"/>
          <w:szCs w:val="24"/>
        </w:rPr>
        <w:t>)</w:t>
      </w:r>
      <w:r w:rsidR="008C5F44">
        <w:rPr>
          <w:rFonts w:ascii="Times New Roman" w:hAnsi="Times New Roman" w:cs="Times New Roman"/>
          <w:sz w:val="24"/>
          <w:szCs w:val="24"/>
        </w:rPr>
        <w:t xml:space="preserve">. </w:t>
      </w:r>
    </w:p>
    <w:p w:rsidR="008C5F44" w:rsidRDefault="00C756F2" w:rsidP="00EF380A">
      <w:pPr>
        <w:spacing w:line="360" w:lineRule="auto"/>
        <w:jc w:val="both"/>
        <w:rPr>
          <w:rFonts w:ascii="Times New Roman" w:hAnsi="Times New Roman" w:cs="Times New Roman"/>
          <w:sz w:val="24"/>
          <w:szCs w:val="24"/>
        </w:rPr>
      </w:pPr>
      <w:r>
        <w:rPr>
          <w:rFonts w:ascii="Times New Roman" w:hAnsi="Times New Roman" w:cs="Times New Roman"/>
          <w:sz w:val="24"/>
          <w:szCs w:val="24"/>
        </w:rPr>
        <w:t>Vývoj</w:t>
      </w:r>
      <w:r w:rsidR="003B76AF">
        <w:rPr>
          <w:rFonts w:ascii="Times New Roman" w:hAnsi="Times New Roman" w:cs="Times New Roman"/>
          <w:sz w:val="24"/>
          <w:szCs w:val="24"/>
        </w:rPr>
        <w:t xml:space="preserve"> cen bytových jednotek na realitních trzích srovnávaných zemí zobrazuje graf č. 1. Jedná se o</w:t>
      </w:r>
      <w:r w:rsidR="008C5F44">
        <w:rPr>
          <w:rFonts w:ascii="Times New Roman" w:hAnsi="Times New Roman" w:cs="Times New Roman"/>
          <w:sz w:val="24"/>
          <w:szCs w:val="24"/>
        </w:rPr>
        <w:t xml:space="preserve"> srovnání vývoje cen z hlediska bazického indexu s cenovou základnou za rok 2015.   </w:t>
      </w:r>
    </w:p>
    <w:p w:rsidR="005D11CB" w:rsidRDefault="008C6EB8" w:rsidP="00EF380A">
      <w:pPr>
        <w:spacing w:line="360" w:lineRule="auto"/>
        <w:jc w:val="both"/>
        <w:rPr>
          <w:rFonts w:ascii="Times New Roman" w:hAnsi="Times New Roman" w:cs="Times New Roman"/>
          <w:sz w:val="24"/>
          <w:szCs w:val="24"/>
        </w:rPr>
      </w:pPr>
      <w:r>
        <w:rPr>
          <w:noProof/>
          <w:lang w:eastAsia="cs-CZ"/>
        </w:rPr>
        <w:drawing>
          <wp:anchor distT="0" distB="0" distL="114300" distR="114300" simplePos="0" relativeHeight="251658240" behindDoc="0" locked="0" layoutInCell="1" allowOverlap="1">
            <wp:simplePos x="0" y="0"/>
            <wp:positionH relativeFrom="column">
              <wp:posOffset>-92710</wp:posOffset>
            </wp:positionH>
            <wp:positionV relativeFrom="paragraph">
              <wp:posOffset>392430</wp:posOffset>
            </wp:positionV>
            <wp:extent cx="6514465" cy="3380105"/>
            <wp:effectExtent l="19050" t="0" r="19685" b="0"/>
            <wp:wrapSquare wrapText="bothSides"/>
            <wp:docPr id="7" name="Graf 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B2804F9-5270-3B64-82C2-8D83065FB8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5D11CB">
        <w:rPr>
          <w:rFonts w:ascii="Times New Roman" w:hAnsi="Times New Roman" w:cs="Times New Roman"/>
          <w:sz w:val="24"/>
          <w:szCs w:val="24"/>
        </w:rPr>
        <w:t xml:space="preserve">Graf 1: Srovnání vývoje cen nemovitostí, bazický index </w:t>
      </w:r>
    </w:p>
    <w:p w:rsidR="005D11CB" w:rsidRDefault="005D11CB" w:rsidP="00EF38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Zdroj: </w:t>
      </w:r>
      <w:r w:rsidR="00547B18">
        <w:rPr>
          <w:rFonts w:ascii="Times New Roman" w:hAnsi="Times New Roman" w:cs="Times New Roman"/>
          <w:sz w:val="24"/>
          <w:szCs w:val="24"/>
        </w:rPr>
        <w:t xml:space="preserve">statistiky </w:t>
      </w:r>
      <w:r>
        <w:rPr>
          <w:rFonts w:ascii="Times New Roman" w:hAnsi="Times New Roman" w:cs="Times New Roman"/>
          <w:sz w:val="24"/>
          <w:szCs w:val="24"/>
        </w:rPr>
        <w:t xml:space="preserve">OECD, vlastní zpracování </w:t>
      </w:r>
    </w:p>
    <w:p w:rsidR="003B76AF" w:rsidRDefault="008C5F44" w:rsidP="00EF380A">
      <w:pPr>
        <w:spacing w:line="360" w:lineRule="auto"/>
        <w:jc w:val="both"/>
        <w:rPr>
          <w:rFonts w:ascii="Times New Roman" w:hAnsi="Times New Roman" w:cs="Times New Roman"/>
          <w:sz w:val="24"/>
          <w:szCs w:val="24"/>
        </w:rPr>
      </w:pPr>
      <w:r>
        <w:rPr>
          <w:rFonts w:ascii="Times New Roman" w:hAnsi="Times New Roman" w:cs="Times New Roman"/>
          <w:sz w:val="24"/>
          <w:szCs w:val="24"/>
        </w:rPr>
        <w:t>Ze srovnání</w:t>
      </w:r>
      <w:r w:rsidR="00C756F2">
        <w:rPr>
          <w:rFonts w:ascii="Times New Roman" w:hAnsi="Times New Roman" w:cs="Times New Roman"/>
          <w:sz w:val="24"/>
          <w:szCs w:val="24"/>
        </w:rPr>
        <w:t xml:space="preserve"> vyplývá, že nejvyšším </w:t>
      </w:r>
      <w:r w:rsidR="003B76AF">
        <w:rPr>
          <w:rFonts w:ascii="Times New Roman" w:hAnsi="Times New Roman" w:cs="Times New Roman"/>
          <w:sz w:val="24"/>
          <w:szCs w:val="24"/>
        </w:rPr>
        <w:t>ná</w:t>
      </w:r>
      <w:r w:rsidR="00C756F2">
        <w:rPr>
          <w:rFonts w:ascii="Times New Roman" w:hAnsi="Times New Roman" w:cs="Times New Roman"/>
          <w:sz w:val="24"/>
          <w:szCs w:val="24"/>
        </w:rPr>
        <w:t>růstem cen nemovitostí prošel od roku 2008 maďarský realitní trh, následoval je</w:t>
      </w:r>
      <w:r w:rsidR="00D37EFA">
        <w:rPr>
          <w:rFonts w:ascii="Times New Roman" w:hAnsi="Times New Roman" w:cs="Times New Roman"/>
          <w:sz w:val="24"/>
          <w:szCs w:val="24"/>
        </w:rPr>
        <w:t>j realitní trh v Česku</w:t>
      </w:r>
      <w:r w:rsidR="00C756F2">
        <w:rPr>
          <w:rFonts w:ascii="Times New Roman" w:hAnsi="Times New Roman" w:cs="Times New Roman"/>
          <w:sz w:val="24"/>
          <w:szCs w:val="24"/>
        </w:rPr>
        <w:t>, dále pak realitní trh na Slovensku a nakonec, zhruba s polovičním reálným růstem oproti Maďarsku, následoval realitní trh v</w:t>
      </w:r>
      <w:r w:rsidR="003B76AF">
        <w:rPr>
          <w:rFonts w:ascii="Times New Roman" w:hAnsi="Times New Roman" w:cs="Times New Roman"/>
          <w:sz w:val="24"/>
          <w:szCs w:val="24"/>
        </w:rPr>
        <w:t> </w:t>
      </w:r>
      <w:r w:rsidR="00C756F2">
        <w:rPr>
          <w:rFonts w:ascii="Times New Roman" w:hAnsi="Times New Roman" w:cs="Times New Roman"/>
          <w:sz w:val="24"/>
          <w:szCs w:val="24"/>
        </w:rPr>
        <w:t>Polsku.</w:t>
      </w:r>
      <w:r w:rsidR="003B76AF">
        <w:rPr>
          <w:rFonts w:ascii="Times New Roman" w:hAnsi="Times New Roman" w:cs="Times New Roman"/>
          <w:sz w:val="24"/>
          <w:szCs w:val="24"/>
        </w:rPr>
        <w:t xml:space="preserve"> </w:t>
      </w:r>
    </w:p>
    <w:p w:rsidR="005D11CB" w:rsidRPr="0045141E" w:rsidRDefault="003B76AF" w:rsidP="00EF38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Jaké jsou příčiny </w:t>
      </w:r>
      <w:r w:rsidR="00D37EFA">
        <w:rPr>
          <w:rFonts w:ascii="Times New Roman" w:hAnsi="Times New Roman" w:cs="Times New Roman"/>
          <w:sz w:val="24"/>
          <w:szCs w:val="24"/>
        </w:rPr>
        <w:t>tohoto růstu a</w:t>
      </w:r>
      <w:r>
        <w:rPr>
          <w:rFonts w:ascii="Times New Roman" w:hAnsi="Times New Roman" w:cs="Times New Roman"/>
          <w:sz w:val="24"/>
          <w:szCs w:val="24"/>
        </w:rPr>
        <w:t xml:space="preserve"> rozdíln</w:t>
      </w:r>
      <w:r w:rsidR="00772959">
        <w:rPr>
          <w:rFonts w:ascii="Times New Roman" w:hAnsi="Times New Roman" w:cs="Times New Roman"/>
          <w:sz w:val="24"/>
          <w:szCs w:val="24"/>
        </w:rPr>
        <w:t xml:space="preserve">é dynamiky </w:t>
      </w:r>
      <w:r w:rsidR="00D37EFA">
        <w:rPr>
          <w:rFonts w:ascii="Times New Roman" w:hAnsi="Times New Roman" w:cs="Times New Roman"/>
          <w:sz w:val="24"/>
          <w:szCs w:val="24"/>
        </w:rPr>
        <w:t xml:space="preserve">tohoto </w:t>
      </w:r>
      <w:r w:rsidR="00772959">
        <w:rPr>
          <w:rFonts w:ascii="Times New Roman" w:hAnsi="Times New Roman" w:cs="Times New Roman"/>
          <w:sz w:val="24"/>
          <w:szCs w:val="24"/>
        </w:rPr>
        <w:t>růstu</w:t>
      </w:r>
      <w:r w:rsidR="00D37EFA">
        <w:rPr>
          <w:rFonts w:ascii="Times New Roman" w:hAnsi="Times New Roman" w:cs="Times New Roman"/>
          <w:sz w:val="24"/>
          <w:szCs w:val="24"/>
        </w:rPr>
        <w:t>,</w:t>
      </w:r>
      <w:r w:rsidR="00772959">
        <w:rPr>
          <w:rFonts w:ascii="Times New Roman" w:hAnsi="Times New Roman" w:cs="Times New Roman"/>
          <w:sz w:val="24"/>
          <w:szCs w:val="24"/>
        </w:rPr>
        <w:t xml:space="preserve"> lze odvodit</w:t>
      </w:r>
      <w:r>
        <w:rPr>
          <w:rFonts w:ascii="Times New Roman" w:hAnsi="Times New Roman" w:cs="Times New Roman"/>
          <w:sz w:val="24"/>
          <w:szCs w:val="24"/>
        </w:rPr>
        <w:t xml:space="preserve"> srovnáním vývoje de</w:t>
      </w:r>
      <w:r w:rsidR="00A17168">
        <w:rPr>
          <w:rFonts w:ascii="Times New Roman" w:hAnsi="Times New Roman" w:cs="Times New Roman"/>
          <w:sz w:val="24"/>
          <w:szCs w:val="24"/>
        </w:rPr>
        <w:t>terminantů cen na realitních</w:t>
      </w:r>
      <w:r>
        <w:rPr>
          <w:rFonts w:ascii="Times New Roman" w:hAnsi="Times New Roman" w:cs="Times New Roman"/>
          <w:sz w:val="24"/>
          <w:szCs w:val="24"/>
        </w:rPr>
        <w:t xml:space="preserve"> trzích srovnávaných zemí.  </w:t>
      </w:r>
      <w:r w:rsidR="00C756F2">
        <w:rPr>
          <w:rFonts w:ascii="Times New Roman" w:hAnsi="Times New Roman" w:cs="Times New Roman"/>
          <w:sz w:val="24"/>
          <w:szCs w:val="24"/>
        </w:rPr>
        <w:t xml:space="preserve">      </w:t>
      </w:r>
    </w:p>
    <w:p w:rsidR="008C7F06" w:rsidRPr="00EF380A" w:rsidRDefault="007A4811" w:rsidP="00EF380A">
      <w:pPr>
        <w:pStyle w:val="Odstavecseseznamem"/>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Srovnání v</w:t>
      </w:r>
      <w:r w:rsidR="00AB2748" w:rsidRPr="008C7F06">
        <w:rPr>
          <w:rFonts w:ascii="Times New Roman" w:hAnsi="Times New Roman" w:cs="Times New Roman"/>
          <w:b/>
          <w:sz w:val="24"/>
          <w:szCs w:val="24"/>
        </w:rPr>
        <w:t>ývoje počtu obyvatel</w:t>
      </w:r>
    </w:p>
    <w:p w:rsidR="00EF380A" w:rsidRDefault="00D00099" w:rsidP="00EF380A">
      <w:pPr>
        <w:spacing w:line="360" w:lineRule="auto"/>
        <w:jc w:val="both"/>
        <w:rPr>
          <w:rFonts w:ascii="Times New Roman" w:hAnsi="Times New Roman" w:cs="Times New Roman"/>
          <w:sz w:val="24"/>
          <w:szCs w:val="24"/>
        </w:rPr>
      </w:pPr>
      <w:r w:rsidRPr="00EF380A">
        <w:rPr>
          <w:rFonts w:ascii="Times New Roman" w:hAnsi="Times New Roman" w:cs="Times New Roman"/>
          <w:sz w:val="24"/>
          <w:szCs w:val="24"/>
        </w:rPr>
        <w:t xml:space="preserve">Při srovnání počtu obyvatel bylo sledován počet obyvatel zemí vždy na konci kalendářního roku. Údaje registrují statistické úřady jednotlivých zemí, které je odesílají do statistické databáze ekonomicky vyspělých zemí, tedy </w:t>
      </w:r>
      <w:r w:rsidR="00A040BD">
        <w:rPr>
          <w:rFonts w:ascii="Times New Roman" w:hAnsi="Times New Roman" w:cs="Times New Roman"/>
          <w:sz w:val="24"/>
          <w:szCs w:val="24"/>
        </w:rPr>
        <w:t>databáze</w:t>
      </w:r>
      <w:r w:rsidRPr="00EF380A">
        <w:rPr>
          <w:rFonts w:ascii="Times New Roman" w:hAnsi="Times New Roman" w:cs="Times New Roman"/>
          <w:sz w:val="24"/>
          <w:szCs w:val="24"/>
        </w:rPr>
        <w:t xml:space="preserve"> OECD. Pohledem na tato data je možné </w:t>
      </w:r>
      <w:r w:rsidRPr="00EF380A">
        <w:rPr>
          <w:rFonts w:ascii="Times New Roman" w:hAnsi="Times New Roman" w:cs="Times New Roman"/>
          <w:sz w:val="24"/>
          <w:szCs w:val="24"/>
        </w:rPr>
        <w:lastRenderedPageBreak/>
        <w:t>ko</w:t>
      </w:r>
      <w:r w:rsidR="00EF380A" w:rsidRPr="00EF380A">
        <w:rPr>
          <w:rFonts w:ascii="Times New Roman" w:hAnsi="Times New Roman" w:cs="Times New Roman"/>
          <w:sz w:val="24"/>
          <w:szCs w:val="24"/>
        </w:rPr>
        <w:t>n</w:t>
      </w:r>
      <w:r w:rsidRPr="00EF380A">
        <w:rPr>
          <w:rFonts w:ascii="Times New Roman" w:hAnsi="Times New Roman" w:cs="Times New Roman"/>
          <w:sz w:val="24"/>
          <w:szCs w:val="24"/>
        </w:rPr>
        <w:t>statovat</w:t>
      </w:r>
      <w:r w:rsidR="00EF380A">
        <w:rPr>
          <w:rFonts w:ascii="Times New Roman" w:hAnsi="Times New Roman" w:cs="Times New Roman"/>
          <w:sz w:val="24"/>
          <w:szCs w:val="24"/>
        </w:rPr>
        <w:t>, že růst populace zaznamenaly Česko a Slovensko. Stagnující populaci</w:t>
      </w:r>
      <w:r w:rsidR="00A040BD">
        <w:rPr>
          <w:rFonts w:ascii="Times New Roman" w:hAnsi="Times New Roman" w:cs="Times New Roman"/>
          <w:sz w:val="24"/>
          <w:szCs w:val="24"/>
        </w:rPr>
        <w:t xml:space="preserve"> lze sledovat u Polska. Maďarsko</w:t>
      </w:r>
      <w:r w:rsidR="00EF380A">
        <w:rPr>
          <w:rFonts w:ascii="Times New Roman" w:hAnsi="Times New Roman" w:cs="Times New Roman"/>
          <w:sz w:val="24"/>
          <w:szCs w:val="24"/>
        </w:rPr>
        <w:t xml:space="preserve"> prošlo</w:t>
      </w:r>
      <w:r w:rsidR="00A040BD">
        <w:rPr>
          <w:rFonts w:ascii="Times New Roman" w:hAnsi="Times New Roman" w:cs="Times New Roman"/>
          <w:sz w:val="24"/>
          <w:szCs w:val="24"/>
        </w:rPr>
        <w:t xml:space="preserve"> obdobím poklesu</w:t>
      </w:r>
      <w:r w:rsidR="00EF380A">
        <w:rPr>
          <w:rFonts w:ascii="Times New Roman" w:hAnsi="Times New Roman" w:cs="Times New Roman"/>
          <w:sz w:val="24"/>
          <w:szCs w:val="24"/>
        </w:rPr>
        <w:t xml:space="preserve"> počtu obyvatel. </w:t>
      </w:r>
    </w:p>
    <w:p w:rsidR="008C7F06" w:rsidRPr="00EF380A" w:rsidRDefault="00AA11F4" w:rsidP="00EF380A">
      <w:pPr>
        <w:spacing w:line="360" w:lineRule="auto"/>
        <w:jc w:val="both"/>
        <w:rPr>
          <w:rFonts w:ascii="Times New Roman" w:hAnsi="Times New Roman" w:cs="Times New Roman"/>
          <w:sz w:val="24"/>
          <w:szCs w:val="24"/>
        </w:rPr>
      </w:pPr>
      <w:r>
        <w:rPr>
          <w:rFonts w:ascii="Times New Roman" w:hAnsi="Times New Roman" w:cs="Times New Roman"/>
          <w:sz w:val="24"/>
          <w:szCs w:val="24"/>
        </w:rPr>
        <w:t>V číselném vyjádření n</w:t>
      </w:r>
      <w:r w:rsidR="00EF380A">
        <w:rPr>
          <w:rFonts w:ascii="Times New Roman" w:hAnsi="Times New Roman" w:cs="Times New Roman"/>
          <w:sz w:val="24"/>
          <w:szCs w:val="24"/>
        </w:rPr>
        <w:t>ejvyšší</w:t>
      </w:r>
      <w:r w:rsidR="00ED36EF">
        <w:rPr>
          <w:rFonts w:ascii="Times New Roman" w:hAnsi="Times New Roman" w:cs="Times New Roman"/>
          <w:sz w:val="24"/>
          <w:szCs w:val="24"/>
        </w:rPr>
        <w:t xml:space="preserve"> růst od roku 2000 zaznamenalo Česko, jeho průměrný růst populace ve sledovaném období byl 0,115 % ročně</w:t>
      </w:r>
      <w:r w:rsidR="003B76AF">
        <w:rPr>
          <w:rFonts w:ascii="Times New Roman" w:hAnsi="Times New Roman" w:cs="Times New Roman"/>
          <w:sz w:val="24"/>
          <w:szCs w:val="24"/>
        </w:rPr>
        <w:t xml:space="preserve"> (měřeno koeficienty</w:t>
      </w:r>
      <w:r w:rsidR="007C5DC5">
        <w:rPr>
          <w:rFonts w:ascii="Times New Roman" w:hAnsi="Times New Roman" w:cs="Times New Roman"/>
          <w:sz w:val="24"/>
          <w:szCs w:val="24"/>
        </w:rPr>
        <w:t xml:space="preserve"> růstu)</w:t>
      </w:r>
      <w:r>
        <w:rPr>
          <w:rFonts w:ascii="Times New Roman" w:hAnsi="Times New Roman" w:cs="Times New Roman"/>
          <w:sz w:val="24"/>
          <w:szCs w:val="24"/>
        </w:rPr>
        <w:t xml:space="preserve">, v absolutním vyjádření šlo o nárůst o více jak 250 tis. obyvatel za sledované období. Následovalo Slovensko s </w:t>
      </w:r>
      <w:r w:rsidR="00ED36EF">
        <w:rPr>
          <w:rFonts w:ascii="Times New Roman" w:hAnsi="Times New Roman" w:cs="Times New Roman"/>
          <w:sz w:val="24"/>
          <w:szCs w:val="24"/>
        </w:rPr>
        <w:t>0,04 %</w:t>
      </w:r>
      <w:r>
        <w:rPr>
          <w:rFonts w:ascii="Times New Roman" w:hAnsi="Times New Roman" w:cs="Times New Roman"/>
          <w:sz w:val="24"/>
          <w:szCs w:val="24"/>
        </w:rPr>
        <w:t xml:space="preserve"> růstem, populačně stagnující</w:t>
      </w:r>
      <w:r w:rsidR="00ED36EF">
        <w:rPr>
          <w:rFonts w:ascii="Times New Roman" w:hAnsi="Times New Roman" w:cs="Times New Roman"/>
          <w:sz w:val="24"/>
          <w:szCs w:val="24"/>
        </w:rPr>
        <w:t xml:space="preserve"> Polsko a Maďarsko, které zaznamenalo průměrný roční úbytek obyvatelstva </w:t>
      </w:r>
      <w:r>
        <w:rPr>
          <w:rFonts w:ascii="Times New Roman" w:hAnsi="Times New Roman" w:cs="Times New Roman"/>
          <w:sz w:val="24"/>
          <w:szCs w:val="24"/>
        </w:rPr>
        <w:t>o 0,239 %, což v absolutním vyjádření znamenalo pokles o více jak 500 tis. obyvatel. Komparaci vývo</w:t>
      </w:r>
      <w:r w:rsidR="003B76AF">
        <w:rPr>
          <w:rFonts w:ascii="Times New Roman" w:hAnsi="Times New Roman" w:cs="Times New Roman"/>
          <w:sz w:val="24"/>
          <w:szCs w:val="24"/>
        </w:rPr>
        <w:t>je v jednotlivých zemích</w:t>
      </w:r>
      <w:r>
        <w:rPr>
          <w:rFonts w:ascii="Times New Roman" w:hAnsi="Times New Roman" w:cs="Times New Roman"/>
          <w:sz w:val="24"/>
          <w:szCs w:val="24"/>
        </w:rPr>
        <w:t xml:space="preserve"> nejlépe vystihuje graf č. 2. </w:t>
      </w:r>
      <w:r w:rsidR="007A4811">
        <w:rPr>
          <w:rFonts w:ascii="Times New Roman" w:hAnsi="Times New Roman" w:cs="Times New Roman"/>
          <w:sz w:val="24"/>
          <w:szCs w:val="24"/>
        </w:rPr>
        <w:t xml:space="preserve">Náhlý pokles hodnoty u ČR v roce 2021 je dán rozdílem mezi predikcí a údajem zjištěným při sčítání lidí, domů a bytů v roce 2021.   </w:t>
      </w:r>
      <w:r>
        <w:rPr>
          <w:rFonts w:ascii="Times New Roman" w:hAnsi="Times New Roman" w:cs="Times New Roman"/>
          <w:sz w:val="24"/>
          <w:szCs w:val="24"/>
        </w:rPr>
        <w:t xml:space="preserve">   </w:t>
      </w:r>
      <w:r w:rsidR="00ED36EF">
        <w:rPr>
          <w:rFonts w:ascii="Times New Roman" w:hAnsi="Times New Roman" w:cs="Times New Roman"/>
          <w:sz w:val="24"/>
          <w:szCs w:val="24"/>
        </w:rPr>
        <w:t xml:space="preserve"> </w:t>
      </w:r>
      <w:r w:rsidR="00D00099" w:rsidRPr="00EF380A">
        <w:rPr>
          <w:rFonts w:ascii="Times New Roman" w:hAnsi="Times New Roman" w:cs="Times New Roman"/>
          <w:sz w:val="24"/>
          <w:szCs w:val="24"/>
        </w:rPr>
        <w:t xml:space="preserve">     </w:t>
      </w:r>
      <w:r w:rsidR="00A040BD">
        <w:rPr>
          <w:rFonts w:ascii="Times New Roman" w:hAnsi="Times New Roman" w:cs="Times New Roman"/>
          <w:sz w:val="24"/>
          <w:szCs w:val="24"/>
        </w:rPr>
        <w:t xml:space="preserve"> </w:t>
      </w:r>
    </w:p>
    <w:p w:rsidR="004804FF" w:rsidRDefault="00AA11F4" w:rsidP="00AA11F4">
      <w:pPr>
        <w:spacing w:line="360" w:lineRule="auto"/>
        <w:rPr>
          <w:rFonts w:ascii="Times New Roman" w:hAnsi="Times New Roman" w:cs="Times New Roman"/>
          <w:sz w:val="24"/>
          <w:szCs w:val="24"/>
        </w:rPr>
      </w:pPr>
      <w:r>
        <w:rPr>
          <w:rFonts w:ascii="Times New Roman" w:hAnsi="Times New Roman" w:cs="Times New Roman"/>
          <w:sz w:val="24"/>
          <w:szCs w:val="24"/>
        </w:rPr>
        <w:t>Graf 2: Srovnání vývoje počtu obyvatel, bazický index</w:t>
      </w:r>
      <w:r w:rsidR="00AB2748" w:rsidRPr="00AB2748">
        <w:rPr>
          <w:rFonts w:ascii="Times New Roman" w:hAnsi="Times New Roman" w:cs="Times New Roman"/>
          <w:noProof/>
          <w:sz w:val="24"/>
          <w:szCs w:val="24"/>
          <w:lang w:eastAsia="cs-CZ"/>
        </w:rPr>
        <w:drawing>
          <wp:inline distT="0" distB="0" distL="0" distR="0">
            <wp:extent cx="6120000" cy="3187700"/>
            <wp:effectExtent l="0" t="0" r="14605" b="12700"/>
            <wp:docPr id="1" name="Graf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BFC7F5F-8E22-A8B6-5D9C-585DDD9B67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6787E">
        <w:rPr>
          <w:rFonts w:ascii="Times New Roman" w:hAnsi="Times New Roman" w:cs="Times New Roman"/>
          <w:sz w:val="24"/>
          <w:szCs w:val="24"/>
        </w:rPr>
        <w:t xml:space="preserve">      </w:t>
      </w:r>
      <w:r>
        <w:rPr>
          <w:rFonts w:ascii="Times New Roman" w:hAnsi="Times New Roman" w:cs="Times New Roman"/>
          <w:sz w:val="24"/>
          <w:szCs w:val="24"/>
        </w:rPr>
        <w:t xml:space="preserve">Zdroj: </w:t>
      </w:r>
      <w:r w:rsidR="00C95515">
        <w:rPr>
          <w:rFonts w:ascii="Times New Roman" w:hAnsi="Times New Roman" w:cs="Times New Roman"/>
          <w:sz w:val="24"/>
          <w:szCs w:val="24"/>
        </w:rPr>
        <w:t>ČSÚ</w:t>
      </w:r>
      <w:r>
        <w:rPr>
          <w:rFonts w:ascii="Times New Roman" w:hAnsi="Times New Roman" w:cs="Times New Roman"/>
          <w:sz w:val="24"/>
          <w:szCs w:val="24"/>
        </w:rPr>
        <w:t>,</w:t>
      </w:r>
      <w:r w:rsidR="008A5565">
        <w:rPr>
          <w:rFonts w:ascii="Times New Roman" w:hAnsi="Times New Roman" w:cs="Times New Roman"/>
          <w:sz w:val="24"/>
          <w:szCs w:val="24"/>
        </w:rPr>
        <w:t xml:space="preserve"> DATA CUBE, OECD, </w:t>
      </w:r>
      <w:r>
        <w:rPr>
          <w:rFonts w:ascii="Times New Roman" w:hAnsi="Times New Roman" w:cs="Times New Roman"/>
          <w:sz w:val="24"/>
          <w:szCs w:val="24"/>
        </w:rPr>
        <w:t>vlastní zpracování</w:t>
      </w:r>
    </w:p>
    <w:p w:rsidR="008A5565" w:rsidRDefault="00AC2F82" w:rsidP="008A5565">
      <w:pPr>
        <w:pStyle w:val="Odstavecseseznamem"/>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Srovnání vývoje hrubého</w:t>
      </w:r>
      <w:r w:rsidR="008A5565">
        <w:rPr>
          <w:rFonts w:ascii="Times New Roman" w:hAnsi="Times New Roman" w:cs="Times New Roman"/>
          <w:b/>
          <w:sz w:val="24"/>
          <w:szCs w:val="24"/>
        </w:rPr>
        <w:t xml:space="preserve"> domácí</w:t>
      </w:r>
      <w:r>
        <w:rPr>
          <w:rFonts w:ascii="Times New Roman" w:hAnsi="Times New Roman" w:cs="Times New Roman"/>
          <w:b/>
          <w:sz w:val="24"/>
          <w:szCs w:val="24"/>
        </w:rPr>
        <w:t>ho</w:t>
      </w:r>
      <w:r w:rsidR="008A5565">
        <w:rPr>
          <w:rFonts w:ascii="Times New Roman" w:hAnsi="Times New Roman" w:cs="Times New Roman"/>
          <w:b/>
          <w:sz w:val="24"/>
          <w:szCs w:val="24"/>
        </w:rPr>
        <w:t xml:space="preserve"> produkt</w:t>
      </w:r>
      <w:r>
        <w:rPr>
          <w:rFonts w:ascii="Times New Roman" w:hAnsi="Times New Roman" w:cs="Times New Roman"/>
          <w:b/>
          <w:sz w:val="24"/>
          <w:szCs w:val="24"/>
        </w:rPr>
        <w:t>u</w:t>
      </w:r>
      <w:r w:rsidR="008A5565">
        <w:rPr>
          <w:rFonts w:ascii="Times New Roman" w:hAnsi="Times New Roman" w:cs="Times New Roman"/>
          <w:b/>
          <w:sz w:val="24"/>
          <w:szCs w:val="24"/>
        </w:rPr>
        <w:t xml:space="preserve"> </w:t>
      </w:r>
    </w:p>
    <w:p w:rsidR="00BA2C6C" w:rsidRDefault="00BA2C6C" w:rsidP="00A040BD">
      <w:pPr>
        <w:spacing w:line="360" w:lineRule="auto"/>
        <w:jc w:val="both"/>
        <w:rPr>
          <w:rFonts w:ascii="Times New Roman" w:hAnsi="Times New Roman" w:cs="Times New Roman"/>
          <w:sz w:val="24"/>
          <w:szCs w:val="24"/>
        </w:rPr>
      </w:pPr>
      <w:r>
        <w:rPr>
          <w:rFonts w:ascii="Times New Roman" w:hAnsi="Times New Roman" w:cs="Times New Roman"/>
          <w:sz w:val="24"/>
          <w:szCs w:val="24"/>
        </w:rPr>
        <w:t>Hrubý domácí produkt (HDP) a jeho vývoj v čase je signifikantním faktorem pro popis vývoje cen nemovitostí na většině realitních trhů. Vhodné je připomenout, že samotný realitní trh je indikátorem hospodářského růstu. Usuzuje se, že se realitní trh podílí na tvorbě HDP zhruba 5 až 10</w:t>
      </w:r>
      <w:r w:rsidR="00A040BD">
        <w:rPr>
          <w:rFonts w:ascii="Times New Roman" w:hAnsi="Times New Roman" w:cs="Times New Roman"/>
          <w:sz w:val="24"/>
          <w:szCs w:val="24"/>
        </w:rPr>
        <w:t xml:space="preserve"> </w:t>
      </w:r>
      <w:r>
        <w:rPr>
          <w:rFonts w:ascii="Times New Roman" w:hAnsi="Times New Roman" w:cs="Times New Roman"/>
          <w:sz w:val="24"/>
          <w:szCs w:val="24"/>
        </w:rPr>
        <w:t xml:space="preserve">% jeho hodnoty.   Vývoj HDP v porovnávaných </w:t>
      </w:r>
      <w:r w:rsidR="00C82E7F">
        <w:rPr>
          <w:rFonts w:ascii="Times New Roman" w:hAnsi="Times New Roman" w:cs="Times New Roman"/>
          <w:sz w:val="24"/>
          <w:szCs w:val="24"/>
        </w:rPr>
        <w:t>zemích zobrazuje graf č. 3.</w:t>
      </w:r>
      <w:r>
        <w:rPr>
          <w:rFonts w:ascii="Times New Roman" w:hAnsi="Times New Roman" w:cs="Times New Roman"/>
          <w:sz w:val="24"/>
          <w:szCs w:val="24"/>
        </w:rPr>
        <w:t xml:space="preserve"> </w:t>
      </w:r>
    </w:p>
    <w:p w:rsidR="0084181B" w:rsidRPr="0084181B" w:rsidRDefault="00DD3C22" w:rsidP="00CD17A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Graf 3: Vývoj hrubého domácího produktu v zemích V4</w:t>
      </w:r>
      <w:r w:rsidR="00782B9D" w:rsidRPr="00782B9D">
        <w:rPr>
          <w:noProof/>
        </w:rPr>
        <w:t xml:space="preserve"> </w:t>
      </w:r>
      <w:r w:rsidR="00782B9D">
        <w:rPr>
          <w:noProof/>
          <w:lang w:eastAsia="cs-CZ"/>
        </w:rPr>
        <w:drawing>
          <wp:inline distT="0" distB="0" distL="0" distR="0">
            <wp:extent cx="6120000" cy="2880000"/>
            <wp:effectExtent l="19050" t="0" r="14100" b="0"/>
            <wp:docPr id="20" name="Graf 2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1FEB1E3-2F7F-5177-AB37-D3C03DFCFB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3C22" w:rsidRPr="00C756F2" w:rsidRDefault="0084181B" w:rsidP="0084181B">
      <w:pPr>
        <w:rPr>
          <w:rFonts w:ascii="Times New Roman" w:hAnsi="Times New Roman" w:cs="Times New Roman"/>
          <w:sz w:val="24"/>
          <w:szCs w:val="24"/>
        </w:rPr>
      </w:pPr>
      <w:r w:rsidRPr="00C756F2">
        <w:rPr>
          <w:rFonts w:ascii="Times New Roman" w:hAnsi="Times New Roman" w:cs="Times New Roman"/>
          <w:sz w:val="24"/>
          <w:szCs w:val="24"/>
        </w:rPr>
        <w:t xml:space="preserve">Zdroj: </w:t>
      </w:r>
      <w:proofErr w:type="spellStart"/>
      <w:r w:rsidR="00547B18" w:rsidRPr="00C756F2">
        <w:rPr>
          <w:rFonts w:ascii="Times New Roman" w:hAnsi="Times New Roman" w:cs="Times New Roman"/>
          <w:sz w:val="24"/>
          <w:szCs w:val="24"/>
        </w:rPr>
        <w:t>Wor</w:t>
      </w:r>
      <w:r w:rsidR="00A040BD">
        <w:rPr>
          <w:rFonts w:ascii="Times New Roman" w:hAnsi="Times New Roman" w:cs="Times New Roman"/>
          <w:sz w:val="24"/>
          <w:szCs w:val="24"/>
        </w:rPr>
        <w:t>l</w:t>
      </w:r>
      <w:r w:rsidR="00547B18" w:rsidRPr="00C756F2">
        <w:rPr>
          <w:rFonts w:ascii="Times New Roman" w:hAnsi="Times New Roman" w:cs="Times New Roman"/>
          <w:sz w:val="24"/>
          <w:szCs w:val="24"/>
        </w:rPr>
        <w:t>d</w:t>
      </w:r>
      <w:proofErr w:type="spellEnd"/>
      <w:r w:rsidRPr="00C756F2">
        <w:rPr>
          <w:rFonts w:ascii="Times New Roman" w:hAnsi="Times New Roman" w:cs="Times New Roman"/>
          <w:sz w:val="24"/>
          <w:szCs w:val="24"/>
        </w:rPr>
        <w:t xml:space="preserve"> Bank, vlastní zpracování</w:t>
      </w:r>
      <w:r w:rsidR="003B309C" w:rsidRPr="00C756F2">
        <w:rPr>
          <w:rFonts w:ascii="Times New Roman" w:hAnsi="Times New Roman" w:cs="Times New Roman"/>
          <w:sz w:val="24"/>
          <w:szCs w:val="24"/>
        </w:rPr>
        <w:t xml:space="preserve"> </w:t>
      </w:r>
    </w:p>
    <w:p w:rsidR="00F413B2" w:rsidRPr="00C756F2" w:rsidRDefault="00C82E7F" w:rsidP="0077240A">
      <w:pPr>
        <w:spacing w:line="360" w:lineRule="auto"/>
        <w:jc w:val="both"/>
        <w:rPr>
          <w:rFonts w:ascii="Times New Roman" w:hAnsi="Times New Roman" w:cs="Times New Roman"/>
          <w:sz w:val="24"/>
          <w:szCs w:val="24"/>
        </w:rPr>
      </w:pPr>
      <w:r w:rsidRPr="00C756F2">
        <w:rPr>
          <w:rFonts w:ascii="Times New Roman" w:hAnsi="Times New Roman" w:cs="Times New Roman"/>
          <w:sz w:val="24"/>
          <w:szCs w:val="24"/>
        </w:rPr>
        <w:t>Pohledem na něj je možné i</w:t>
      </w:r>
      <w:r w:rsidR="00A040BD">
        <w:rPr>
          <w:rFonts w:ascii="Times New Roman" w:hAnsi="Times New Roman" w:cs="Times New Roman"/>
          <w:sz w:val="24"/>
          <w:szCs w:val="24"/>
        </w:rPr>
        <w:t>dentifikovat, že v každé zemi byl</w:t>
      </w:r>
      <w:r w:rsidRPr="00C756F2">
        <w:rPr>
          <w:rFonts w:ascii="Times New Roman" w:hAnsi="Times New Roman" w:cs="Times New Roman"/>
          <w:sz w:val="24"/>
          <w:szCs w:val="24"/>
        </w:rPr>
        <w:t xml:space="preserve"> mezi lety 2000 až 2021 zaznamenán dynamický </w:t>
      </w:r>
      <w:r w:rsidR="00DF735A">
        <w:rPr>
          <w:rFonts w:ascii="Times New Roman" w:hAnsi="Times New Roman" w:cs="Times New Roman"/>
          <w:sz w:val="24"/>
          <w:szCs w:val="24"/>
        </w:rPr>
        <w:t>růst HDP. Konkrétně pak, hodnoceno průměrnými</w:t>
      </w:r>
      <w:r w:rsidRPr="00C756F2">
        <w:rPr>
          <w:rFonts w:ascii="Times New Roman" w:hAnsi="Times New Roman" w:cs="Times New Roman"/>
          <w:sz w:val="24"/>
          <w:szCs w:val="24"/>
        </w:rPr>
        <w:t xml:space="preserve"> koeficienty růstu</w:t>
      </w:r>
      <w:r w:rsidR="00DF735A">
        <w:rPr>
          <w:rFonts w:ascii="Times New Roman" w:hAnsi="Times New Roman" w:cs="Times New Roman"/>
          <w:sz w:val="24"/>
          <w:szCs w:val="24"/>
        </w:rPr>
        <w:t>,</w:t>
      </w:r>
      <w:r w:rsidRPr="00C756F2">
        <w:rPr>
          <w:rFonts w:ascii="Times New Roman" w:hAnsi="Times New Roman" w:cs="Times New Roman"/>
          <w:sz w:val="24"/>
          <w:szCs w:val="24"/>
        </w:rPr>
        <w:t xml:space="preserve"> lze říci, že se dynam</w:t>
      </w:r>
      <w:r w:rsidR="00A040BD">
        <w:rPr>
          <w:rFonts w:ascii="Times New Roman" w:hAnsi="Times New Roman" w:cs="Times New Roman"/>
          <w:sz w:val="24"/>
          <w:szCs w:val="24"/>
        </w:rPr>
        <w:t>ika růstu pohybovala u zemí V4 na úrovni v rozmezí</w:t>
      </w:r>
      <w:r w:rsidRPr="00C756F2">
        <w:rPr>
          <w:rFonts w:ascii="Times New Roman" w:hAnsi="Times New Roman" w:cs="Times New Roman"/>
          <w:sz w:val="24"/>
          <w:szCs w:val="24"/>
        </w:rPr>
        <w:t xml:space="preserve"> 6,6 až 7,5 % relativního přírůstku. To je poměrně silný roční růst. </w:t>
      </w:r>
      <w:r w:rsidR="00DF735A">
        <w:rPr>
          <w:rFonts w:ascii="Times New Roman" w:hAnsi="Times New Roman" w:cs="Times New Roman"/>
          <w:sz w:val="24"/>
          <w:szCs w:val="24"/>
        </w:rPr>
        <w:t xml:space="preserve">Nejvyšší dynamiky růstu dosáhlo Česko, průměrný koeficient růstu 7,5 %. Další země pak dosáhly prakticky stejného růstu, Slovensko 6,8 %, Polsko 6,76 % a Maďarsko 6,63 %.  </w:t>
      </w:r>
    </w:p>
    <w:p w:rsidR="008C6EB8" w:rsidRPr="00C756F2" w:rsidRDefault="00C82E7F" w:rsidP="0077240A">
      <w:pPr>
        <w:spacing w:line="360" w:lineRule="auto"/>
        <w:jc w:val="both"/>
        <w:rPr>
          <w:rFonts w:ascii="Times New Roman" w:hAnsi="Times New Roman" w:cs="Times New Roman"/>
          <w:sz w:val="24"/>
          <w:szCs w:val="24"/>
        </w:rPr>
      </w:pPr>
      <w:r w:rsidRPr="00C756F2">
        <w:rPr>
          <w:rFonts w:ascii="Times New Roman" w:hAnsi="Times New Roman" w:cs="Times New Roman"/>
          <w:sz w:val="24"/>
          <w:szCs w:val="24"/>
        </w:rPr>
        <w:t>I když hodnocení vývoje cen</w:t>
      </w:r>
      <w:r w:rsidR="001B429A">
        <w:rPr>
          <w:rFonts w:ascii="Times New Roman" w:hAnsi="Times New Roman" w:cs="Times New Roman"/>
          <w:sz w:val="24"/>
          <w:szCs w:val="24"/>
        </w:rPr>
        <w:t xml:space="preserve"> na realitních trzích hodnotíme</w:t>
      </w:r>
      <w:r w:rsidRPr="00C756F2">
        <w:rPr>
          <w:rFonts w:ascii="Times New Roman" w:hAnsi="Times New Roman" w:cs="Times New Roman"/>
          <w:sz w:val="24"/>
          <w:szCs w:val="24"/>
        </w:rPr>
        <w:t xml:space="preserve"> též </w:t>
      </w:r>
      <w:r w:rsidR="001B429A">
        <w:rPr>
          <w:rFonts w:ascii="Times New Roman" w:hAnsi="Times New Roman" w:cs="Times New Roman"/>
          <w:sz w:val="24"/>
          <w:szCs w:val="24"/>
        </w:rPr>
        <w:t>samostatně v souvislosti s</w:t>
      </w:r>
      <w:r w:rsidRPr="00C756F2">
        <w:rPr>
          <w:rFonts w:ascii="Times New Roman" w:hAnsi="Times New Roman" w:cs="Times New Roman"/>
          <w:sz w:val="24"/>
          <w:szCs w:val="24"/>
        </w:rPr>
        <w:t xml:space="preserve"> vývojem počtu obyvatel, je vhodné</w:t>
      </w:r>
      <w:r w:rsidR="00606B14">
        <w:rPr>
          <w:rFonts w:ascii="Times New Roman" w:hAnsi="Times New Roman" w:cs="Times New Roman"/>
          <w:sz w:val="24"/>
          <w:szCs w:val="24"/>
        </w:rPr>
        <w:t>, již dle pohledu na graf vývoje absolutních hodnot, ale také z objektivizovaného hlediska,</w:t>
      </w:r>
      <w:r w:rsidRPr="00C756F2">
        <w:rPr>
          <w:rFonts w:ascii="Times New Roman" w:hAnsi="Times New Roman" w:cs="Times New Roman"/>
          <w:sz w:val="24"/>
          <w:szCs w:val="24"/>
        </w:rPr>
        <w:t xml:space="preserve"> </w:t>
      </w:r>
      <w:r w:rsidR="001B429A">
        <w:rPr>
          <w:rFonts w:ascii="Times New Roman" w:hAnsi="Times New Roman" w:cs="Times New Roman"/>
          <w:sz w:val="24"/>
          <w:szCs w:val="24"/>
        </w:rPr>
        <w:t xml:space="preserve">jej </w:t>
      </w:r>
      <w:r w:rsidRPr="00C756F2">
        <w:rPr>
          <w:rFonts w:ascii="Times New Roman" w:hAnsi="Times New Roman" w:cs="Times New Roman"/>
          <w:sz w:val="24"/>
          <w:szCs w:val="24"/>
        </w:rPr>
        <w:t xml:space="preserve">posoudit také </w:t>
      </w:r>
      <w:r w:rsidR="001B429A">
        <w:rPr>
          <w:rFonts w:ascii="Times New Roman" w:hAnsi="Times New Roman" w:cs="Times New Roman"/>
          <w:sz w:val="24"/>
          <w:szCs w:val="24"/>
        </w:rPr>
        <w:t xml:space="preserve">s </w:t>
      </w:r>
      <w:r w:rsidRPr="00C756F2">
        <w:rPr>
          <w:rFonts w:ascii="Times New Roman" w:hAnsi="Times New Roman" w:cs="Times New Roman"/>
          <w:sz w:val="24"/>
          <w:szCs w:val="24"/>
        </w:rPr>
        <w:t>vývoj</w:t>
      </w:r>
      <w:r w:rsidR="001B429A">
        <w:rPr>
          <w:rFonts w:ascii="Times New Roman" w:hAnsi="Times New Roman" w:cs="Times New Roman"/>
          <w:sz w:val="24"/>
          <w:szCs w:val="24"/>
        </w:rPr>
        <w:t>em</w:t>
      </w:r>
      <w:r w:rsidRPr="00C756F2">
        <w:rPr>
          <w:rFonts w:ascii="Times New Roman" w:hAnsi="Times New Roman" w:cs="Times New Roman"/>
          <w:sz w:val="24"/>
          <w:szCs w:val="24"/>
        </w:rPr>
        <w:t xml:space="preserve"> HDP na </w:t>
      </w:r>
      <w:r w:rsidR="00A040BD">
        <w:rPr>
          <w:rFonts w:ascii="Times New Roman" w:hAnsi="Times New Roman" w:cs="Times New Roman"/>
          <w:sz w:val="24"/>
          <w:szCs w:val="24"/>
        </w:rPr>
        <w:t>obyvatele</w:t>
      </w:r>
      <w:r w:rsidR="00606B14">
        <w:rPr>
          <w:rFonts w:ascii="Times New Roman" w:hAnsi="Times New Roman" w:cs="Times New Roman"/>
          <w:sz w:val="24"/>
          <w:szCs w:val="24"/>
        </w:rPr>
        <w:t>. Ten</w:t>
      </w:r>
      <w:r w:rsidR="007E60BC">
        <w:rPr>
          <w:rFonts w:ascii="Times New Roman" w:hAnsi="Times New Roman" w:cs="Times New Roman"/>
          <w:sz w:val="24"/>
          <w:szCs w:val="24"/>
        </w:rPr>
        <w:t xml:space="preserve"> ukazatel</w:t>
      </w:r>
      <w:r w:rsidRPr="00C756F2">
        <w:rPr>
          <w:rFonts w:ascii="Times New Roman" w:hAnsi="Times New Roman" w:cs="Times New Roman"/>
          <w:sz w:val="24"/>
          <w:szCs w:val="24"/>
        </w:rPr>
        <w:t xml:space="preserve"> HDP </w:t>
      </w:r>
      <w:r w:rsidR="00606B14">
        <w:rPr>
          <w:rFonts w:ascii="Times New Roman" w:hAnsi="Times New Roman" w:cs="Times New Roman"/>
          <w:sz w:val="24"/>
          <w:szCs w:val="24"/>
        </w:rPr>
        <w:t>objektivně relativizuje, neb</w:t>
      </w:r>
      <w:r w:rsidRPr="00C756F2">
        <w:rPr>
          <w:rFonts w:ascii="Times New Roman" w:hAnsi="Times New Roman" w:cs="Times New Roman"/>
          <w:sz w:val="24"/>
          <w:szCs w:val="24"/>
        </w:rPr>
        <w:t xml:space="preserve"> eliminuje vliv </w:t>
      </w:r>
      <w:r w:rsidR="001B429A">
        <w:rPr>
          <w:rFonts w:ascii="Times New Roman" w:hAnsi="Times New Roman" w:cs="Times New Roman"/>
          <w:sz w:val="24"/>
          <w:szCs w:val="24"/>
        </w:rPr>
        <w:t>velikosti ekonomického prostoru</w:t>
      </w:r>
      <w:r w:rsidR="0077240A">
        <w:rPr>
          <w:rFonts w:ascii="Times New Roman" w:hAnsi="Times New Roman" w:cs="Times New Roman"/>
          <w:sz w:val="24"/>
          <w:szCs w:val="24"/>
        </w:rPr>
        <w:t>. Vše</w:t>
      </w:r>
      <w:r w:rsidRPr="00C756F2">
        <w:rPr>
          <w:rFonts w:ascii="Times New Roman" w:hAnsi="Times New Roman" w:cs="Times New Roman"/>
          <w:sz w:val="24"/>
          <w:szCs w:val="24"/>
        </w:rPr>
        <w:t xml:space="preserve"> zobrazuje graf č. 4. </w:t>
      </w:r>
    </w:p>
    <w:p w:rsidR="00782B9D" w:rsidRPr="00C756F2" w:rsidRDefault="008C6EB8" w:rsidP="00DD3C22">
      <w:pPr>
        <w:rPr>
          <w:rFonts w:ascii="Times New Roman" w:hAnsi="Times New Roman" w:cs="Times New Roman"/>
          <w:sz w:val="24"/>
          <w:szCs w:val="24"/>
        </w:rPr>
      </w:pPr>
      <w:r w:rsidRPr="00C756F2">
        <w:rPr>
          <w:rFonts w:ascii="Times New Roman" w:hAnsi="Times New Roman" w:cs="Times New Roman"/>
          <w:noProof/>
          <w:sz w:val="24"/>
          <w:szCs w:val="24"/>
          <w:lang w:eastAsia="cs-CZ"/>
        </w:rPr>
        <w:drawing>
          <wp:anchor distT="0" distB="0" distL="114300" distR="114300" simplePos="0" relativeHeight="251659264" behindDoc="0" locked="0" layoutInCell="1" allowOverlap="1">
            <wp:simplePos x="0" y="0"/>
            <wp:positionH relativeFrom="column">
              <wp:posOffset>-146376</wp:posOffset>
            </wp:positionH>
            <wp:positionV relativeFrom="paragraph">
              <wp:posOffset>330509</wp:posOffset>
            </wp:positionV>
            <wp:extent cx="5760720" cy="2211860"/>
            <wp:effectExtent l="0" t="0" r="5080" b="0"/>
            <wp:wrapSquare wrapText="bothSides"/>
            <wp:docPr id="11" name="Graf 1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2CC5A7D-FE25-6AF6-840D-A7D19CCD08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F30E7A" w:rsidRPr="00C756F2">
        <w:rPr>
          <w:rFonts w:ascii="Times New Roman" w:hAnsi="Times New Roman" w:cs="Times New Roman"/>
          <w:sz w:val="24"/>
          <w:szCs w:val="24"/>
        </w:rPr>
        <w:t xml:space="preserve"> </w:t>
      </w:r>
      <w:r w:rsidR="00C82E7F" w:rsidRPr="00C756F2">
        <w:rPr>
          <w:rFonts w:ascii="Times New Roman" w:hAnsi="Times New Roman" w:cs="Times New Roman"/>
          <w:sz w:val="24"/>
          <w:szCs w:val="24"/>
        </w:rPr>
        <w:t xml:space="preserve">     </w:t>
      </w:r>
      <w:r w:rsidR="005D11CB" w:rsidRPr="00C756F2">
        <w:rPr>
          <w:rFonts w:ascii="Times New Roman" w:hAnsi="Times New Roman" w:cs="Times New Roman"/>
          <w:sz w:val="24"/>
          <w:szCs w:val="24"/>
        </w:rPr>
        <w:t>Graf 4: Vývoj HDP na obyvatele v zemích V4</w:t>
      </w:r>
    </w:p>
    <w:p w:rsidR="002B4E77" w:rsidRDefault="003B309C" w:rsidP="008A556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11CB">
        <w:rPr>
          <w:rFonts w:ascii="Times New Roman" w:hAnsi="Times New Roman" w:cs="Times New Roman"/>
          <w:sz w:val="24"/>
          <w:szCs w:val="24"/>
        </w:rPr>
        <w:t>Zdroj:</w:t>
      </w:r>
      <w:r w:rsidR="008C6EB8">
        <w:rPr>
          <w:rFonts w:ascii="Times New Roman" w:hAnsi="Times New Roman" w:cs="Times New Roman"/>
          <w:sz w:val="24"/>
          <w:szCs w:val="24"/>
        </w:rPr>
        <w:t xml:space="preserve"> </w:t>
      </w:r>
      <w:r w:rsidR="00547B18">
        <w:rPr>
          <w:rFonts w:ascii="Times New Roman" w:hAnsi="Times New Roman" w:cs="Times New Roman"/>
          <w:sz w:val="24"/>
          <w:szCs w:val="24"/>
        </w:rPr>
        <w:t xml:space="preserve">statistiky OECD, </w:t>
      </w:r>
      <w:r w:rsidR="008C6EB8">
        <w:rPr>
          <w:rFonts w:ascii="Times New Roman" w:hAnsi="Times New Roman" w:cs="Times New Roman"/>
          <w:sz w:val="24"/>
          <w:szCs w:val="24"/>
        </w:rPr>
        <w:t>vlastní zpracování</w:t>
      </w:r>
    </w:p>
    <w:p w:rsidR="0077240A" w:rsidRPr="008A5565" w:rsidRDefault="007E60BC" w:rsidP="008A5565">
      <w:pPr>
        <w:spacing w:line="360" w:lineRule="auto"/>
        <w:rPr>
          <w:rFonts w:ascii="Times New Roman" w:hAnsi="Times New Roman" w:cs="Times New Roman"/>
          <w:sz w:val="24"/>
          <w:szCs w:val="24"/>
        </w:rPr>
      </w:pPr>
      <w:r>
        <w:rPr>
          <w:rFonts w:ascii="Times New Roman" w:hAnsi="Times New Roman" w:cs="Times New Roman"/>
          <w:sz w:val="24"/>
          <w:szCs w:val="24"/>
        </w:rPr>
        <w:t>G</w:t>
      </w:r>
      <w:r w:rsidR="00606B14">
        <w:rPr>
          <w:rFonts w:ascii="Times New Roman" w:hAnsi="Times New Roman" w:cs="Times New Roman"/>
          <w:sz w:val="24"/>
          <w:szCs w:val="24"/>
        </w:rPr>
        <w:t>raf</w:t>
      </w:r>
      <w:r>
        <w:rPr>
          <w:rFonts w:ascii="Times New Roman" w:hAnsi="Times New Roman" w:cs="Times New Roman"/>
          <w:sz w:val="24"/>
          <w:szCs w:val="24"/>
        </w:rPr>
        <w:t xml:space="preserve"> č. 4 přehledně dokumentuje a zcela jasně potvrzuje</w:t>
      </w:r>
      <w:r w:rsidR="00606B14">
        <w:rPr>
          <w:rFonts w:ascii="Times New Roman" w:hAnsi="Times New Roman" w:cs="Times New Roman"/>
          <w:sz w:val="24"/>
          <w:szCs w:val="24"/>
        </w:rPr>
        <w:t xml:space="preserve"> výše zmíněné závěry o komparaci vývoje HDP.  </w:t>
      </w:r>
    </w:p>
    <w:p w:rsidR="00A31974" w:rsidRPr="007A4811" w:rsidRDefault="007A4811" w:rsidP="007A4811">
      <w:pPr>
        <w:pStyle w:val="Odstavecseseznamem"/>
        <w:numPr>
          <w:ilvl w:val="1"/>
          <w:numId w:val="1"/>
        </w:numPr>
        <w:spacing w:line="360" w:lineRule="auto"/>
        <w:jc w:val="both"/>
        <w:rPr>
          <w:rFonts w:ascii="Times New Roman" w:hAnsi="Times New Roman" w:cs="Times New Roman"/>
          <w:b/>
          <w:sz w:val="24"/>
          <w:szCs w:val="24"/>
        </w:rPr>
      </w:pPr>
      <w:r w:rsidRPr="007A4811">
        <w:rPr>
          <w:rFonts w:ascii="Times New Roman" w:hAnsi="Times New Roman" w:cs="Times New Roman"/>
          <w:b/>
          <w:sz w:val="24"/>
          <w:szCs w:val="24"/>
        </w:rPr>
        <w:t>Srovnání vývoje průměrných mezd</w:t>
      </w:r>
    </w:p>
    <w:p w:rsidR="005D11CB" w:rsidRDefault="009F4F0D" w:rsidP="007A4811">
      <w:pPr>
        <w:spacing w:line="360" w:lineRule="auto"/>
        <w:jc w:val="both"/>
        <w:rPr>
          <w:rFonts w:ascii="Times New Roman" w:hAnsi="Times New Roman" w:cs="Times New Roman"/>
          <w:sz w:val="24"/>
          <w:szCs w:val="24"/>
        </w:rPr>
      </w:pPr>
      <w:r>
        <w:rPr>
          <w:rFonts w:ascii="Times New Roman" w:hAnsi="Times New Roman" w:cs="Times New Roman"/>
          <w:sz w:val="24"/>
          <w:szCs w:val="24"/>
        </w:rPr>
        <w:t>Druhým ze srovnávaných ukazatelů determinujících</w:t>
      </w:r>
      <w:r w:rsidRPr="009F4F0D">
        <w:rPr>
          <w:rFonts w:ascii="Times New Roman" w:hAnsi="Times New Roman" w:cs="Times New Roman"/>
          <w:sz w:val="24"/>
          <w:szCs w:val="24"/>
        </w:rPr>
        <w:t xml:space="preserve"> cen</w:t>
      </w:r>
      <w:r>
        <w:rPr>
          <w:rFonts w:ascii="Times New Roman" w:hAnsi="Times New Roman" w:cs="Times New Roman"/>
          <w:sz w:val="24"/>
          <w:szCs w:val="24"/>
        </w:rPr>
        <w:t>y</w:t>
      </w:r>
      <w:r w:rsidRPr="009F4F0D">
        <w:rPr>
          <w:rFonts w:ascii="Times New Roman" w:hAnsi="Times New Roman" w:cs="Times New Roman"/>
          <w:sz w:val="24"/>
          <w:szCs w:val="24"/>
        </w:rPr>
        <w:t xml:space="preserve"> rezidenčních nemovitostí (bytů) jsou průměrné mzdy.</w:t>
      </w:r>
      <w:r w:rsidR="0077240A">
        <w:rPr>
          <w:rFonts w:ascii="Times New Roman" w:hAnsi="Times New Roman" w:cs="Times New Roman"/>
          <w:sz w:val="24"/>
          <w:szCs w:val="24"/>
        </w:rPr>
        <w:t xml:space="preserve"> I když lze usuzovat, že samotný vývoj HDP, již sám odráží vývoj průměrných mezd, a tedy ten by měl silně korelovat s výsledkem vlivu změn HDP na ceny nemovitostí, není tomu tak. V řadě analýz je průměrná mzda více signifikantním faktorem pro vývoj cen na realitním trhu, nežli ukazatel HDP (např. </w:t>
      </w:r>
      <w:proofErr w:type="spellStart"/>
      <w:r w:rsidR="0077240A">
        <w:rPr>
          <w:rFonts w:ascii="Times New Roman" w:hAnsi="Times New Roman" w:cs="Times New Roman"/>
          <w:sz w:val="24"/>
          <w:szCs w:val="24"/>
        </w:rPr>
        <w:t>Uhman</w:t>
      </w:r>
      <w:proofErr w:type="spellEnd"/>
      <w:r w:rsidR="0077240A">
        <w:rPr>
          <w:rFonts w:ascii="Times New Roman" w:hAnsi="Times New Roman" w:cs="Times New Roman"/>
          <w:sz w:val="24"/>
          <w:szCs w:val="24"/>
        </w:rPr>
        <w:t xml:space="preserve">, 2019). </w:t>
      </w:r>
    </w:p>
    <w:p w:rsidR="008C6EB8" w:rsidRDefault="001B429A" w:rsidP="007A48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Vývoj průměrných mezd </w:t>
      </w:r>
      <w:r w:rsidR="00F83AC3">
        <w:rPr>
          <w:rFonts w:ascii="Times New Roman" w:hAnsi="Times New Roman" w:cs="Times New Roman"/>
          <w:sz w:val="24"/>
          <w:szCs w:val="24"/>
        </w:rPr>
        <w:t>ve zkoumaných</w:t>
      </w:r>
      <w:r>
        <w:rPr>
          <w:rFonts w:ascii="Times New Roman" w:hAnsi="Times New Roman" w:cs="Times New Roman"/>
          <w:sz w:val="24"/>
          <w:szCs w:val="24"/>
        </w:rPr>
        <w:t xml:space="preserve"> zemích přehledně zobrazuje</w:t>
      </w:r>
      <w:r w:rsidR="00183DD6">
        <w:rPr>
          <w:rFonts w:ascii="Times New Roman" w:hAnsi="Times New Roman" w:cs="Times New Roman"/>
          <w:sz w:val="24"/>
          <w:szCs w:val="24"/>
        </w:rPr>
        <w:t xml:space="preserve"> graf č. </w:t>
      </w:r>
      <w:r w:rsidR="008C6EB8">
        <w:rPr>
          <w:rFonts w:ascii="Times New Roman" w:hAnsi="Times New Roman" w:cs="Times New Roman"/>
          <w:sz w:val="24"/>
          <w:szCs w:val="24"/>
        </w:rPr>
        <w:t>5</w:t>
      </w:r>
      <w:r>
        <w:rPr>
          <w:rFonts w:ascii="Times New Roman" w:hAnsi="Times New Roman" w:cs="Times New Roman"/>
          <w:sz w:val="24"/>
          <w:szCs w:val="24"/>
        </w:rPr>
        <w:t>.</w:t>
      </w:r>
    </w:p>
    <w:p w:rsidR="009F4F0D" w:rsidRDefault="008C6EB8" w:rsidP="007A4811">
      <w:pPr>
        <w:spacing w:line="360" w:lineRule="auto"/>
        <w:jc w:val="both"/>
        <w:rPr>
          <w:rFonts w:ascii="Times New Roman" w:hAnsi="Times New Roman" w:cs="Times New Roman"/>
          <w:sz w:val="24"/>
          <w:szCs w:val="24"/>
        </w:rPr>
      </w:pPr>
      <w:r>
        <w:rPr>
          <w:rFonts w:ascii="Times New Roman" w:hAnsi="Times New Roman" w:cs="Times New Roman"/>
          <w:sz w:val="24"/>
          <w:szCs w:val="24"/>
        </w:rPr>
        <w:t>Graf 5: Srovnání vývoje průměrných mezd ve vybraných zemích</w:t>
      </w:r>
      <w:r w:rsidR="005D11CB">
        <w:rPr>
          <w:rFonts w:ascii="Times New Roman" w:hAnsi="Times New Roman" w:cs="Times New Roman"/>
          <w:sz w:val="24"/>
          <w:szCs w:val="24"/>
        </w:rPr>
        <w:t xml:space="preserve">. </w:t>
      </w:r>
    </w:p>
    <w:p w:rsidR="00C95515" w:rsidRDefault="005D11CB" w:rsidP="005D11CB">
      <w:pPr>
        <w:spacing w:line="360" w:lineRule="auto"/>
        <w:jc w:val="both"/>
        <w:rPr>
          <w:rFonts w:ascii="Times New Roman" w:hAnsi="Times New Roman" w:cs="Times New Roman"/>
          <w:sz w:val="24"/>
          <w:szCs w:val="24"/>
        </w:rPr>
      </w:pPr>
      <w:r>
        <w:rPr>
          <w:noProof/>
          <w:lang w:eastAsia="cs-CZ"/>
        </w:rPr>
        <w:drawing>
          <wp:inline distT="0" distB="0" distL="0" distR="0">
            <wp:extent cx="6120000" cy="2880000"/>
            <wp:effectExtent l="0" t="0" r="1905" b="3175"/>
            <wp:docPr id="10" name="Graf 1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836968B-8D5D-BF5B-3C3D-3CD48392DC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11CB" w:rsidRPr="005D11CB" w:rsidRDefault="005D11CB" w:rsidP="005D11C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Zdroj: </w:t>
      </w:r>
      <w:r w:rsidR="00547B18">
        <w:rPr>
          <w:rFonts w:ascii="Times New Roman" w:hAnsi="Times New Roman" w:cs="Times New Roman"/>
          <w:color w:val="000000" w:themeColor="text1"/>
          <w:sz w:val="24"/>
          <w:szCs w:val="24"/>
        </w:rPr>
        <w:t xml:space="preserve">statistiky </w:t>
      </w:r>
      <w:r>
        <w:rPr>
          <w:rFonts w:ascii="Times New Roman" w:hAnsi="Times New Roman" w:cs="Times New Roman"/>
          <w:color w:val="000000" w:themeColor="text1"/>
          <w:sz w:val="24"/>
          <w:szCs w:val="24"/>
        </w:rPr>
        <w:t>OECD, vlastní zpracování</w:t>
      </w:r>
    </w:p>
    <w:p w:rsidR="00806228" w:rsidRDefault="001B429A" w:rsidP="007A4811">
      <w:pPr>
        <w:spacing w:line="360" w:lineRule="auto"/>
        <w:jc w:val="both"/>
        <w:rPr>
          <w:rFonts w:ascii="Times New Roman" w:hAnsi="Times New Roman" w:cs="Times New Roman"/>
          <w:sz w:val="24"/>
          <w:szCs w:val="24"/>
        </w:rPr>
      </w:pPr>
      <w:r>
        <w:rPr>
          <w:rFonts w:ascii="Times New Roman" w:hAnsi="Times New Roman" w:cs="Times New Roman"/>
          <w:sz w:val="24"/>
          <w:szCs w:val="24"/>
        </w:rPr>
        <w:t>Pohledem na graf</w:t>
      </w:r>
      <w:r w:rsidR="00183DD6">
        <w:rPr>
          <w:rFonts w:ascii="Times New Roman" w:hAnsi="Times New Roman" w:cs="Times New Roman"/>
          <w:sz w:val="24"/>
          <w:szCs w:val="24"/>
        </w:rPr>
        <w:t xml:space="preserve"> je možné konstatovat, že vývoj průměrných mezd ve vybraných zemích byl velmi podobný. Téměř po celé sledované období průměrná mzda</w:t>
      </w:r>
      <w:r w:rsidR="00806228">
        <w:rPr>
          <w:rFonts w:ascii="Times New Roman" w:hAnsi="Times New Roman" w:cs="Times New Roman"/>
          <w:sz w:val="24"/>
          <w:szCs w:val="24"/>
        </w:rPr>
        <w:t xml:space="preserve"> ve všech sledovaných zemích</w:t>
      </w:r>
      <w:r w:rsidR="00183DD6">
        <w:rPr>
          <w:rFonts w:ascii="Times New Roman" w:hAnsi="Times New Roman" w:cs="Times New Roman"/>
          <w:sz w:val="24"/>
          <w:szCs w:val="24"/>
        </w:rPr>
        <w:t xml:space="preserve"> r</w:t>
      </w:r>
      <w:r w:rsidR="00806228">
        <w:rPr>
          <w:rFonts w:ascii="Times New Roman" w:hAnsi="Times New Roman" w:cs="Times New Roman"/>
          <w:sz w:val="24"/>
          <w:szCs w:val="24"/>
        </w:rPr>
        <w:t xml:space="preserve">ostla, s výjimkou krátké doby poklesu a </w:t>
      </w:r>
      <w:r>
        <w:rPr>
          <w:rFonts w:ascii="Times New Roman" w:hAnsi="Times New Roman" w:cs="Times New Roman"/>
          <w:sz w:val="24"/>
          <w:szCs w:val="24"/>
        </w:rPr>
        <w:t xml:space="preserve">stagnace v období finanční a dluhové </w:t>
      </w:r>
      <w:r w:rsidR="00806228">
        <w:rPr>
          <w:rFonts w:ascii="Times New Roman" w:hAnsi="Times New Roman" w:cs="Times New Roman"/>
          <w:sz w:val="24"/>
          <w:szCs w:val="24"/>
        </w:rPr>
        <w:t>krize.</w:t>
      </w:r>
    </w:p>
    <w:p w:rsidR="001B429A" w:rsidRDefault="00806228" w:rsidP="007A4811">
      <w:pPr>
        <w:spacing w:line="360" w:lineRule="auto"/>
        <w:jc w:val="both"/>
        <w:rPr>
          <w:rFonts w:ascii="Times New Roman" w:hAnsi="Times New Roman" w:cs="Times New Roman"/>
          <w:sz w:val="24"/>
          <w:szCs w:val="24"/>
        </w:rPr>
      </w:pPr>
      <w:r>
        <w:rPr>
          <w:rFonts w:ascii="Times New Roman" w:hAnsi="Times New Roman" w:cs="Times New Roman"/>
          <w:sz w:val="24"/>
          <w:szCs w:val="24"/>
        </w:rPr>
        <w:t>Nejvyššíh</w:t>
      </w:r>
      <w:r w:rsidR="001B429A">
        <w:rPr>
          <w:rFonts w:ascii="Times New Roman" w:hAnsi="Times New Roman" w:cs="Times New Roman"/>
          <w:sz w:val="24"/>
          <w:szCs w:val="24"/>
        </w:rPr>
        <w:t>o růstu bylo dosaženo v Česku</w:t>
      </w:r>
      <w:r>
        <w:rPr>
          <w:rFonts w:ascii="Times New Roman" w:hAnsi="Times New Roman" w:cs="Times New Roman"/>
          <w:sz w:val="24"/>
          <w:szCs w:val="24"/>
        </w:rPr>
        <w:t>, naopak</w:t>
      </w:r>
      <w:r w:rsidR="001B429A">
        <w:rPr>
          <w:rFonts w:ascii="Times New Roman" w:hAnsi="Times New Roman" w:cs="Times New Roman"/>
          <w:sz w:val="24"/>
          <w:szCs w:val="24"/>
        </w:rPr>
        <w:t xml:space="preserve"> nejnižší růst evidujeme v Maďarsku</w:t>
      </w:r>
      <w:r>
        <w:rPr>
          <w:rFonts w:ascii="Times New Roman" w:hAnsi="Times New Roman" w:cs="Times New Roman"/>
          <w:sz w:val="24"/>
          <w:szCs w:val="24"/>
        </w:rPr>
        <w:t xml:space="preserve">. </w:t>
      </w:r>
      <w:r w:rsidR="001B429A">
        <w:rPr>
          <w:rFonts w:ascii="Times New Roman" w:hAnsi="Times New Roman" w:cs="Times New Roman"/>
          <w:sz w:val="24"/>
          <w:szCs w:val="24"/>
        </w:rPr>
        <w:t>V Česku</w:t>
      </w:r>
      <w:r>
        <w:rPr>
          <w:rFonts w:ascii="Times New Roman" w:hAnsi="Times New Roman" w:cs="Times New Roman"/>
          <w:sz w:val="24"/>
          <w:szCs w:val="24"/>
        </w:rPr>
        <w:t xml:space="preserve"> rostly mzdy </w:t>
      </w:r>
      <w:r w:rsidR="001B429A">
        <w:rPr>
          <w:rFonts w:ascii="Times New Roman" w:hAnsi="Times New Roman" w:cs="Times New Roman"/>
          <w:sz w:val="24"/>
          <w:szCs w:val="24"/>
        </w:rPr>
        <w:t>průměrně o 2,9</w:t>
      </w:r>
      <w:r w:rsidR="00070B7E">
        <w:rPr>
          <w:rFonts w:ascii="Times New Roman" w:hAnsi="Times New Roman" w:cs="Times New Roman"/>
          <w:sz w:val="24"/>
          <w:szCs w:val="24"/>
        </w:rPr>
        <w:t xml:space="preserve"> % ročně, násled</w:t>
      </w:r>
      <w:r w:rsidR="001B429A">
        <w:rPr>
          <w:rFonts w:ascii="Times New Roman" w:hAnsi="Times New Roman" w:cs="Times New Roman"/>
          <w:sz w:val="24"/>
          <w:szCs w:val="24"/>
        </w:rPr>
        <w:t>ovalo Slovensko s 2,5</w:t>
      </w:r>
      <w:r w:rsidR="00070B7E">
        <w:rPr>
          <w:rFonts w:ascii="Times New Roman" w:hAnsi="Times New Roman" w:cs="Times New Roman"/>
          <w:sz w:val="24"/>
          <w:szCs w:val="24"/>
        </w:rPr>
        <w:t xml:space="preserve"> % </w:t>
      </w:r>
      <w:r w:rsidR="001B429A">
        <w:rPr>
          <w:rFonts w:ascii="Times New Roman" w:hAnsi="Times New Roman" w:cs="Times New Roman"/>
          <w:sz w:val="24"/>
          <w:szCs w:val="24"/>
        </w:rPr>
        <w:t xml:space="preserve">průměrným </w:t>
      </w:r>
      <w:r w:rsidR="001B429A">
        <w:rPr>
          <w:rFonts w:ascii="Times New Roman" w:hAnsi="Times New Roman" w:cs="Times New Roman"/>
          <w:sz w:val="24"/>
          <w:szCs w:val="24"/>
        </w:rPr>
        <w:lastRenderedPageBreak/>
        <w:t>ročním růstem, následuje Polsko s 2,04 % růstem</w:t>
      </w:r>
      <w:r w:rsidR="00070B7E">
        <w:rPr>
          <w:rFonts w:ascii="Times New Roman" w:hAnsi="Times New Roman" w:cs="Times New Roman"/>
          <w:sz w:val="24"/>
          <w:szCs w:val="24"/>
        </w:rPr>
        <w:t>. N</w:t>
      </w:r>
      <w:r w:rsidR="001B429A">
        <w:rPr>
          <w:rFonts w:ascii="Times New Roman" w:hAnsi="Times New Roman" w:cs="Times New Roman"/>
          <w:sz w:val="24"/>
          <w:szCs w:val="24"/>
        </w:rPr>
        <w:t>a konci evidujeme Maďarsko s průměrným ročním růstem 0</w:t>
      </w:r>
      <w:r w:rsidR="00070B7E">
        <w:rPr>
          <w:rFonts w:ascii="Times New Roman" w:hAnsi="Times New Roman" w:cs="Times New Roman"/>
          <w:sz w:val="24"/>
          <w:szCs w:val="24"/>
        </w:rPr>
        <w:t>,2</w:t>
      </w:r>
      <w:r w:rsidR="001B429A">
        <w:rPr>
          <w:rFonts w:ascii="Times New Roman" w:hAnsi="Times New Roman" w:cs="Times New Roman"/>
          <w:sz w:val="24"/>
          <w:szCs w:val="24"/>
        </w:rPr>
        <w:t>3</w:t>
      </w:r>
      <w:r w:rsidR="00070B7E">
        <w:rPr>
          <w:rFonts w:ascii="Times New Roman" w:hAnsi="Times New Roman" w:cs="Times New Roman"/>
          <w:sz w:val="24"/>
          <w:szCs w:val="24"/>
        </w:rPr>
        <w:t xml:space="preserve"> %.   </w:t>
      </w:r>
      <w:r>
        <w:rPr>
          <w:rFonts w:ascii="Times New Roman" w:hAnsi="Times New Roman" w:cs="Times New Roman"/>
          <w:sz w:val="24"/>
          <w:szCs w:val="24"/>
        </w:rPr>
        <w:t xml:space="preserve"> </w:t>
      </w:r>
      <w:r w:rsidR="00183DD6">
        <w:rPr>
          <w:rFonts w:ascii="Times New Roman" w:hAnsi="Times New Roman" w:cs="Times New Roman"/>
          <w:sz w:val="24"/>
          <w:szCs w:val="24"/>
        </w:rPr>
        <w:t xml:space="preserve"> </w:t>
      </w:r>
    </w:p>
    <w:p w:rsidR="007A4811" w:rsidRPr="00183DD6" w:rsidRDefault="00183DD6" w:rsidP="00183DD6">
      <w:pPr>
        <w:pStyle w:val="Odstavecseseznamem"/>
        <w:numPr>
          <w:ilvl w:val="1"/>
          <w:numId w:val="1"/>
        </w:numPr>
        <w:spacing w:line="360" w:lineRule="auto"/>
        <w:jc w:val="both"/>
        <w:rPr>
          <w:rFonts w:ascii="Times New Roman" w:hAnsi="Times New Roman" w:cs="Times New Roman"/>
          <w:b/>
          <w:sz w:val="24"/>
          <w:szCs w:val="24"/>
        </w:rPr>
      </w:pPr>
      <w:r w:rsidRPr="00183DD6">
        <w:rPr>
          <w:rFonts w:ascii="Times New Roman" w:hAnsi="Times New Roman" w:cs="Times New Roman"/>
          <w:b/>
          <w:sz w:val="24"/>
          <w:szCs w:val="24"/>
        </w:rPr>
        <w:t>Srovnání vývoje inflace</w:t>
      </w:r>
      <w:r w:rsidR="009F4F0D" w:rsidRPr="00183DD6">
        <w:rPr>
          <w:rFonts w:ascii="Times New Roman" w:hAnsi="Times New Roman" w:cs="Times New Roman"/>
          <w:b/>
          <w:sz w:val="24"/>
          <w:szCs w:val="24"/>
        </w:rPr>
        <w:t xml:space="preserve"> </w:t>
      </w:r>
    </w:p>
    <w:p w:rsidR="00183DD6" w:rsidRDefault="00183DD6" w:rsidP="00183DD6">
      <w:pPr>
        <w:spacing w:line="360" w:lineRule="auto"/>
        <w:jc w:val="both"/>
        <w:rPr>
          <w:rFonts w:ascii="Times New Roman" w:hAnsi="Times New Roman" w:cs="Times New Roman"/>
          <w:sz w:val="24"/>
          <w:szCs w:val="24"/>
        </w:rPr>
      </w:pPr>
      <w:r>
        <w:rPr>
          <w:rFonts w:ascii="Times New Roman" w:hAnsi="Times New Roman" w:cs="Times New Roman"/>
          <w:sz w:val="24"/>
          <w:szCs w:val="24"/>
        </w:rPr>
        <w:t>Vedle vlivu vývoje průměrných mezd na cenu nemovitostí je nutné sledovat též vývoj inflace. Ceny nemovitostí se vyvíjí a sledují v nominálním vyjádření, vliv mezd na jejich růst pak je vhodné sledovat též v nominálním vyjádření. Ovšem ceny nemovitostí mohou růst též samotným růstem cenové hladiny, kdy právě ceny nemo</w:t>
      </w:r>
      <w:r w:rsidR="007C5DC5">
        <w:rPr>
          <w:rFonts w:ascii="Times New Roman" w:hAnsi="Times New Roman" w:cs="Times New Roman"/>
          <w:sz w:val="24"/>
          <w:szCs w:val="24"/>
        </w:rPr>
        <w:t>vitostí mohou být buď</w:t>
      </w:r>
      <w:r>
        <w:rPr>
          <w:rFonts w:ascii="Times New Roman" w:hAnsi="Times New Roman" w:cs="Times New Roman"/>
          <w:sz w:val="24"/>
          <w:szCs w:val="24"/>
        </w:rPr>
        <w:t xml:space="preserve"> </w:t>
      </w:r>
      <w:r w:rsidR="007C5DC5">
        <w:rPr>
          <w:rFonts w:ascii="Times New Roman" w:hAnsi="Times New Roman" w:cs="Times New Roman"/>
          <w:sz w:val="24"/>
          <w:szCs w:val="24"/>
        </w:rPr>
        <w:t xml:space="preserve">samotnou </w:t>
      </w:r>
      <w:r>
        <w:rPr>
          <w:rFonts w:ascii="Times New Roman" w:hAnsi="Times New Roman" w:cs="Times New Roman"/>
          <w:sz w:val="24"/>
          <w:szCs w:val="24"/>
        </w:rPr>
        <w:t>příčinou inflace</w:t>
      </w:r>
      <w:r w:rsidR="0035467A">
        <w:rPr>
          <w:rFonts w:ascii="Times New Roman" w:hAnsi="Times New Roman" w:cs="Times New Roman"/>
          <w:sz w:val="24"/>
          <w:szCs w:val="24"/>
        </w:rPr>
        <w:t>,</w:t>
      </w:r>
      <w:r>
        <w:rPr>
          <w:rFonts w:ascii="Times New Roman" w:hAnsi="Times New Roman" w:cs="Times New Roman"/>
          <w:sz w:val="24"/>
          <w:szCs w:val="24"/>
        </w:rPr>
        <w:t xml:space="preserve"> nebo naopak</w:t>
      </w:r>
      <w:r w:rsidR="007C5DC5">
        <w:rPr>
          <w:rFonts w:ascii="Times New Roman" w:hAnsi="Times New Roman" w:cs="Times New Roman"/>
          <w:sz w:val="24"/>
          <w:szCs w:val="24"/>
        </w:rPr>
        <w:t>,</w:t>
      </w:r>
      <w:r>
        <w:rPr>
          <w:rFonts w:ascii="Times New Roman" w:hAnsi="Times New Roman" w:cs="Times New Roman"/>
          <w:sz w:val="24"/>
          <w:szCs w:val="24"/>
        </w:rPr>
        <w:t xml:space="preserve"> růst cen</w:t>
      </w:r>
      <w:r w:rsidR="007C5DC5">
        <w:rPr>
          <w:rFonts w:ascii="Times New Roman" w:hAnsi="Times New Roman" w:cs="Times New Roman"/>
          <w:sz w:val="24"/>
          <w:szCs w:val="24"/>
        </w:rPr>
        <w:t>ové hladiny</w:t>
      </w:r>
      <w:r>
        <w:rPr>
          <w:rFonts w:ascii="Times New Roman" w:hAnsi="Times New Roman" w:cs="Times New Roman"/>
          <w:sz w:val="24"/>
          <w:szCs w:val="24"/>
        </w:rPr>
        <w:t xml:space="preserve"> je důsledkem </w:t>
      </w:r>
      <w:r w:rsidR="007C5DC5">
        <w:rPr>
          <w:rFonts w:ascii="Times New Roman" w:hAnsi="Times New Roman" w:cs="Times New Roman"/>
          <w:sz w:val="24"/>
          <w:szCs w:val="24"/>
        </w:rPr>
        <w:t xml:space="preserve">vyššího </w:t>
      </w:r>
      <w:r>
        <w:rPr>
          <w:rFonts w:ascii="Times New Roman" w:hAnsi="Times New Roman" w:cs="Times New Roman"/>
          <w:sz w:val="24"/>
          <w:szCs w:val="24"/>
        </w:rPr>
        <w:t>růstu</w:t>
      </w:r>
      <w:r w:rsidR="007C5DC5">
        <w:rPr>
          <w:rFonts w:ascii="Times New Roman" w:hAnsi="Times New Roman" w:cs="Times New Roman"/>
          <w:sz w:val="24"/>
          <w:szCs w:val="24"/>
        </w:rPr>
        <w:t xml:space="preserve"> cen nemovitostí z důvodů zvýšeného zájmu o investice do nemovitostí, jako ochraně proti inflaci. V obou případech ovšem je v souvislosti s vývojem cen nemovitostí nutné vývoj cenové hladiny sledovat. </w:t>
      </w:r>
    </w:p>
    <w:p w:rsidR="0084181B" w:rsidRDefault="00806228" w:rsidP="00183D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Vývoj inflace ve sledovaných zemích po roce 2000 zobrazuje graf č. </w:t>
      </w:r>
      <w:r w:rsidR="008C6EB8">
        <w:rPr>
          <w:rFonts w:ascii="Times New Roman" w:hAnsi="Times New Roman" w:cs="Times New Roman"/>
          <w:sz w:val="24"/>
          <w:szCs w:val="24"/>
        </w:rPr>
        <w:t>6</w:t>
      </w:r>
      <w:r>
        <w:rPr>
          <w:rFonts w:ascii="Times New Roman" w:hAnsi="Times New Roman" w:cs="Times New Roman"/>
          <w:sz w:val="24"/>
          <w:szCs w:val="24"/>
        </w:rPr>
        <w:t>.</w:t>
      </w:r>
    </w:p>
    <w:p w:rsidR="0084181B" w:rsidRDefault="008C6EB8" w:rsidP="00183DD6">
      <w:pPr>
        <w:spacing w:line="360" w:lineRule="auto"/>
        <w:jc w:val="both"/>
        <w:rPr>
          <w:rFonts w:ascii="Times New Roman" w:hAnsi="Times New Roman" w:cs="Times New Roman"/>
          <w:sz w:val="24"/>
          <w:szCs w:val="24"/>
        </w:rPr>
      </w:pPr>
      <w:r>
        <w:rPr>
          <w:rFonts w:ascii="Times New Roman" w:hAnsi="Times New Roman" w:cs="Times New Roman"/>
          <w:sz w:val="24"/>
          <w:szCs w:val="24"/>
        </w:rPr>
        <w:t>Graf 6:</w:t>
      </w:r>
      <w:r w:rsidR="0084181B">
        <w:rPr>
          <w:rFonts w:ascii="Times New Roman" w:hAnsi="Times New Roman" w:cs="Times New Roman"/>
          <w:sz w:val="24"/>
          <w:szCs w:val="24"/>
        </w:rPr>
        <w:t xml:space="preserve"> Porovnání inflace ve sledovaných zemích po roce 2000</w:t>
      </w:r>
    </w:p>
    <w:p w:rsidR="00183DD6" w:rsidRPr="00183DD6" w:rsidRDefault="0084181B" w:rsidP="00183DD6">
      <w:pPr>
        <w:spacing w:line="360" w:lineRule="auto"/>
        <w:jc w:val="both"/>
        <w:rPr>
          <w:rFonts w:ascii="Times New Roman" w:hAnsi="Times New Roman" w:cs="Times New Roman"/>
          <w:sz w:val="24"/>
          <w:szCs w:val="24"/>
        </w:rPr>
      </w:pPr>
      <w:r w:rsidRPr="00806228">
        <w:rPr>
          <w:rFonts w:ascii="Times New Roman" w:hAnsi="Times New Roman" w:cs="Times New Roman"/>
          <w:noProof/>
          <w:sz w:val="24"/>
          <w:szCs w:val="24"/>
          <w:lang w:eastAsia="cs-CZ"/>
        </w:rPr>
        <w:drawing>
          <wp:inline distT="0" distB="0" distL="0" distR="0">
            <wp:extent cx="6120000" cy="2879725"/>
            <wp:effectExtent l="0" t="0" r="14605" b="15875"/>
            <wp:docPr id="2" name="Graf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6CEE3CE-6435-82F5-A00A-44A264AD34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6228" w:rsidRDefault="00806228" w:rsidP="000C1988">
      <w:pPr>
        <w:pBdr>
          <w:top w:val="nil"/>
          <w:left w:val="nil"/>
          <w:bottom w:val="nil"/>
          <w:right w:val="nil"/>
          <w:between w:val="nil"/>
          <w:bar w:val="nil"/>
        </w:pBdr>
        <w:spacing w:before="120" w:after="240"/>
        <w:rPr>
          <w:rFonts w:ascii="Times New Roman" w:hAnsi="Times New Roman" w:cs="Times New Roman"/>
          <w:sz w:val="24"/>
          <w:szCs w:val="24"/>
        </w:rPr>
      </w:pPr>
      <w:bookmarkStart w:id="1" w:name="_Toc495244047"/>
      <w:r w:rsidRPr="00806228">
        <w:rPr>
          <w:rFonts w:ascii="Times New Roman" w:hAnsi="Times New Roman" w:cs="Times New Roman"/>
          <w:sz w:val="24"/>
          <w:szCs w:val="24"/>
        </w:rPr>
        <w:t xml:space="preserve">Zdroj: </w:t>
      </w:r>
      <w:r w:rsidR="00C95515">
        <w:rPr>
          <w:rFonts w:ascii="Times New Roman" w:hAnsi="Times New Roman" w:cs="Times New Roman"/>
          <w:color w:val="000000" w:themeColor="text1"/>
          <w:sz w:val="24"/>
          <w:szCs w:val="24"/>
        </w:rPr>
        <w:t>ČSÚ, OECD</w:t>
      </w:r>
      <w:r>
        <w:rPr>
          <w:rFonts w:ascii="Times New Roman" w:hAnsi="Times New Roman" w:cs="Times New Roman"/>
          <w:sz w:val="24"/>
          <w:szCs w:val="24"/>
        </w:rPr>
        <w:t>, vlastní zpracování autora</w:t>
      </w:r>
    </w:p>
    <w:p w:rsidR="00606B14" w:rsidRDefault="00F8087C" w:rsidP="00AC2F82">
      <w:pPr>
        <w:pBdr>
          <w:top w:val="nil"/>
          <w:left w:val="nil"/>
          <w:bottom w:val="nil"/>
          <w:right w:val="nil"/>
          <w:between w:val="nil"/>
          <w:bar w:val="nil"/>
        </w:pBd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Lze pozorovat, že na rozdíl od vývoje mezd či počtu obyvatel je vývoj inflace poměrně volatelní veličinou. </w:t>
      </w:r>
      <w:r w:rsidR="00AC2F82">
        <w:rPr>
          <w:rFonts w:ascii="Times New Roman" w:hAnsi="Times New Roman" w:cs="Times New Roman"/>
          <w:sz w:val="24"/>
          <w:szCs w:val="24"/>
        </w:rPr>
        <w:t xml:space="preserve"> Nejvyšší průměrnou roční inflaci ve sledovaném období zaznamenalo Maďarsko s průměrným ročním růstem cenové hladiny přes 4 %, následované Slovenskem s průměrným ročním růstem téměř 3%, Polskem s 2,34 % růstem a Českem s 2, 27%.   </w:t>
      </w:r>
      <w:r>
        <w:rPr>
          <w:rFonts w:ascii="Times New Roman" w:hAnsi="Times New Roman" w:cs="Times New Roman"/>
          <w:sz w:val="24"/>
          <w:szCs w:val="24"/>
        </w:rPr>
        <w:t xml:space="preserve">  </w:t>
      </w:r>
    </w:p>
    <w:p w:rsidR="00F413B2" w:rsidRDefault="00F413B2" w:rsidP="00F413B2">
      <w:pPr>
        <w:pStyle w:val="Odstavecseseznamem"/>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Srovnání vývoje počtu dokončených bytů</w:t>
      </w:r>
    </w:p>
    <w:p w:rsidR="00CC4DF1" w:rsidRDefault="00CC4DF1" w:rsidP="00CC4DF1">
      <w:pPr>
        <w:spacing w:line="360" w:lineRule="auto"/>
        <w:jc w:val="both"/>
        <w:rPr>
          <w:rFonts w:ascii="Times New Roman" w:hAnsi="Times New Roman" w:cs="Times New Roman"/>
          <w:sz w:val="24"/>
          <w:szCs w:val="24"/>
        </w:rPr>
      </w:pPr>
      <w:r w:rsidRPr="00547B18">
        <w:rPr>
          <w:rFonts w:ascii="Times New Roman" w:hAnsi="Times New Roman" w:cs="Times New Roman"/>
          <w:sz w:val="24"/>
          <w:szCs w:val="24"/>
        </w:rPr>
        <w:t>Jedním za zásadních nabídkových faktorů určujícím vývoj cen na realitním trhu je bytová výstavba. Sledovány jsou celkový počet bytů a domů, zahájen</w:t>
      </w:r>
      <w:r w:rsidR="00647525">
        <w:rPr>
          <w:rFonts w:ascii="Times New Roman" w:hAnsi="Times New Roman" w:cs="Times New Roman"/>
          <w:sz w:val="24"/>
          <w:szCs w:val="24"/>
        </w:rPr>
        <w:t xml:space="preserve">á výstavba nových domů a bytů, </w:t>
      </w:r>
      <w:r w:rsidRPr="00547B18">
        <w:rPr>
          <w:rFonts w:ascii="Times New Roman" w:hAnsi="Times New Roman" w:cs="Times New Roman"/>
          <w:sz w:val="24"/>
          <w:szCs w:val="24"/>
        </w:rPr>
        <w:t>nejčastěji</w:t>
      </w:r>
      <w:r w:rsidR="00647525">
        <w:rPr>
          <w:rFonts w:ascii="Times New Roman" w:hAnsi="Times New Roman" w:cs="Times New Roman"/>
          <w:sz w:val="24"/>
          <w:szCs w:val="24"/>
        </w:rPr>
        <w:t xml:space="preserve"> pak</w:t>
      </w:r>
      <w:r w:rsidRPr="00547B18">
        <w:rPr>
          <w:rFonts w:ascii="Times New Roman" w:hAnsi="Times New Roman" w:cs="Times New Roman"/>
          <w:sz w:val="24"/>
          <w:szCs w:val="24"/>
        </w:rPr>
        <w:t xml:space="preserve"> počet dokončených bytových jednotek za rok. </w:t>
      </w:r>
      <w:r w:rsidR="009B1259" w:rsidRPr="00547B18">
        <w:rPr>
          <w:rFonts w:ascii="Times New Roman" w:hAnsi="Times New Roman" w:cs="Times New Roman"/>
          <w:sz w:val="24"/>
          <w:szCs w:val="24"/>
        </w:rPr>
        <w:t>Dynamika</w:t>
      </w:r>
      <w:r w:rsidR="00F413B2" w:rsidRPr="00547B18">
        <w:rPr>
          <w:rFonts w:ascii="Times New Roman" w:hAnsi="Times New Roman" w:cs="Times New Roman"/>
          <w:sz w:val="24"/>
          <w:szCs w:val="24"/>
        </w:rPr>
        <w:t xml:space="preserve"> bytové výstavby</w:t>
      </w:r>
      <w:r w:rsidR="009B1259" w:rsidRPr="00547B18">
        <w:rPr>
          <w:rFonts w:ascii="Times New Roman" w:hAnsi="Times New Roman" w:cs="Times New Roman"/>
          <w:sz w:val="24"/>
          <w:szCs w:val="24"/>
        </w:rPr>
        <w:t xml:space="preserve"> je</w:t>
      </w:r>
      <w:r w:rsidRPr="00547B18">
        <w:rPr>
          <w:rFonts w:ascii="Times New Roman" w:hAnsi="Times New Roman" w:cs="Times New Roman"/>
          <w:sz w:val="24"/>
          <w:szCs w:val="24"/>
        </w:rPr>
        <w:t xml:space="preserve"> </w:t>
      </w:r>
      <w:r w:rsidR="00547B18" w:rsidRPr="00547B18">
        <w:rPr>
          <w:rFonts w:ascii="Times New Roman" w:hAnsi="Times New Roman" w:cs="Times New Roman"/>
          <w:sz w:val="24"/>
          <w:szCs w:val="24"/>
        </w:rPr>
        <w:t xml:space="preserve">tedy </w:t>
      </w:r>
      <w:r w:rsidRPr="00547B18">
        <w:rPr>
          <w:rFonts w:ascii="Times New Roman" w:hAnsi="Times New Roman" w:cs="Times New Roman"/>
          <w:sz w:val="24"/>
          <w:szCs w:val="24"/>
        </w:rPr>
        <w:t>v tomto srovnání</w:t>
      </w:r>
      <w:r w:rsidR="009B1259" w:rsidRPr="00547B18">
        <w:rPr>
          <w:rFonts w:ascii="Times New Roman" w:hAnsi="Times New Roman" w:cs="Times New Roman"/>
          <w:sz w:val="24"/>
          <w:szCs w:val="24"/>
        </w:rPr>
        <w:t xml:space="preserve"> hodnocena dle vývoje počtu dokončených bytů</w:t>
      </w:r>
      <w:r w:rsidR="00547B18" w:rsidRPr="00547B18">
        <w:rPr>
          <w:rFonts w:ascii="Times New Roman" w:hAnsi="Times New Roman" w:cs="Times New Roman"/>
          <w:sz w:val="24"/>
          <w:szCs w:val="24"/>
        </w:rPr>
        <w:t xml:space="preserve"> (zkolaudovaných jednotek)</w:t>
      </w:r>
      <w:r w:rsidR="009B1259" w:rsidRPr="00547B18">
        <w:rPr>
          <w:rFonts w:ascii="Times New Roman" w:hAnsi="Times New Roman" w:cs="Times New Roman"/>
          <w:sz w:val="24"/>
          <w:szCs w:val="24"/>
        </w:rPr>
        <w:t xml:space="preserve"> za rok</w:t>
      </w:r>
      <w:r w:rsidRPr="00547B18">
        <w:rPr>
          <w:rFonts w:ascii="Times New Roman" w:hAnsi="Times New Roman" w:cs="Times New Roman"/>
          <w:sz w:val="24"/>
          <w:szCs w:val="24"/>
        </w:rPr>
        <w:t>, a to opět pro období 2000 až 2021. Vývoj ve</w:t>
      </w:r>
      <w:r w:rsidR="00547B18" w:rsidRPr="00547B18">
        <w:rPr>
          <w:rFonts w:ascii="Times New Roman" w:hAnsi="Times New Roman" w:cs="Times New Roman"/>
          <w:sz w:val="24"/>
          <w:szCs w:val="24"/>
        </w:rPr>
        <w:t xml:space="preserve"> srovnávaných zemí</w:t>
      </w:r>
      <w:r w:rsidR="009B1259" w:rsidRPr="00547B18">
        <w:rPr>
          <w:rFonts w:ascii="Times New Roman" w:hAnsi="Times New Roman" w:cs="Times New Roman"/>
          <w:sz w:val="24"/>
          <w:szCs w:val="24"/>
        </w:rPr>
        <w:t xml:space="preserve"> přehled</w:t>
      </w:r>
      <w:r w:rsidR="00647525">
        <w:rPr>
          <w:rFonts w:ascii="Times New Roman" w:hAnsi="Times New Roman" w:cs="Times New Roman"/>
          <w:sz w:val="24"/>
          <w:szCs w:val="24"/>
        </w:rPr>
        <w:t>ně zobrazuje graf</w:t>
      </w:r>
      <w:r w:rsidR="00227B59">
        <w:rPr>
          <w:rFonts w:ascii="Times New Roman" w:hAnsi="Times New Roman" w:cs="Times New Roman"/>
          <w:sz w:val="24"/>
          <w:szCs w:val="24"/>
        </w:rPr>
        <w:t xml:space="preserve"> č. 7</w:t>
      </w:r>
      <w:r w:rsidR="009B1259" w:rsidRPr="00547B18">
        <w:rPr>
          <w:rFonts w:ascii="Times New Roman" w:hAnsi="Times New Roman" w:cs="Times New Roman"/>
          <w:sz w:val="24"/>
          <w:szCs w:val="24"/>
        </w:rPr>
        <w:t>.</w:t>
      </w:r>
    </w:p>
    <w:p w:rsidR="00F413B2" w:rsidRPr="00CC4DF1" w:rsidRDefault="00227B59" w:rsidP="00CC4DF1">
      <w:pPr>
        <w:spacing w:line="360" w:lineRule="auto"/>
        <w:jc w:val="both"/>
        <w:rPr>
          <w:rFonts w:ascii="Times New Roman" w:hAnsi="Times New Roman" w:cs="Times New Roman"/>
          <w:sz w:val="24"/>
          <w:szCs w:val="24"/>
        </w:rPr>
      </w:pPr>
      <w:r>
        <w:rPr>
          <w:rFonts w:ascii="Times New Roman" w:hAnsi="Times New Roman" w:cs="Times New Roman"/>
          <w:sz w:val="24"/>
          <w:szCs w:val="24"/>
        </w:rPr>
        <w:t>Graf 7</w:t>
      </w:r>
      <w:r w:rsidR="00CC4DF1">
        <w:rPr>
          <w:rFonts w:ascii="Times New Roman" w:hAnsi="Times New Roman" w:cs="Times New Roman"/>
          <w:sz w:val="24"/>
          <w:szCs w:val="24"/>
        </w:rPr>
        <w:t>:</w:t>
      </w:r>
      <w:r w:rsidR="003101E4">
        <w:rPr>
          <w:rFonts w:ascii="Times New Roman" w:hAnsi="Times New Roman" w:cs="Times New Roman"/>
          <w:sz w:val="24"/>
          <w:szCs w:val="24"/>
        </w:rPr>
        <w:t xml:space="preserve"> Porovnání počtu nových bytových jednotek</w:t>
      </w:r>
      <w:r w:rsidR="00CC4DF1">
        <w:rPr>
          <w:rFonts w:ascii="Times New Roman" w:hAnsi="Times New Roman" w:cs="Times New Roman"/>
          <w:sz w:val="24"/>
          <w:szCs w:val="24"/>
        </w:rPr>
        <w:t xml:space="preserve"> ve sledovaných zemích po roce 2000</w:t>
      </w:r>
    </w:p>
    <w:p w:rsidR="002B4E77" w:rsidRDefault="00CC4DF1" w:rsidP="000C1988">
      <w:pPr>
        <w:pBdr>
          <w:top w:val="nil"/>
          <w:left w:val="nil"/>
          <w:bottom w:val="nil"/>
          <w:right w:val="nil"/>
          <w:between w:val="nil"/>
          <w:bar w:val="nil"/>
        </w:pBdr>
        <w:spacing w:before="120" w:after="240"/>
        <w:rPr>
          <w:rFonts w:ascii="Times New Roman" w:hAnsi="Times New Roman" w:cs="Times New Roman"/>
          <w:sz w:val="24"/>
          <w:szCs w:val="24"/>
        </w:rPr>
      </w:pPr>
      <w:r w:rsidRPr="00CC4DF1">
        <w:rPr>
          <w:rFonts w:ascii="Times New Roman" w:hAnsi="Times New Roman" w:cs="Times New Roman"/>
          <w:noProof/>
          <w:sz w:val="24"/>
          <w:szCs w:val="24"/>
          <w:lang w:eastAsia="cs-CZ"/>
        </w:rPr>
        <w:drawing>
          <wp:inline distT="0" distB="0" distL="0" distR="0">
            <wp:extent cx="5760720" cy="2171753"/>
            <wp:effectExtent l="19050" t="0" r="11430" b="0"/>
            <wp:docPr id="3" name="Graf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465BFBFC-A0B1-C10B-8F93-C464BF1A95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4DF1" w:rsidRDefault="00CC4DF1" w:rsidP="00CC4DF1">
      <w:pPr>
        <w:pBdr>
          <w:top w:val="nil"/>
          <w:left w:val="nil"/>
          <w:bottom w:val="nil"/>
          <w:right w:val="nil"/>
          <w:between w:val="nil"/>
          <w:bar w:val="nil"/>
        </w:pBdr>
        <w:spacing w:before="120" w:after="240"/>
        <w:rPr>
          <w:rFonts w:ascii="Times New Roman" w:hAnsi="Times New Roman" w:cs="Times New Roman"/>
          <w:sz w:val="24"/>
          <w:szCs w:val="24"/>
        </w:rPr>
      </w:pPr>
      <w:r w:rsidRPr="00806228">
        <w:rPr>
          <w:rFonts w:ascii="Times New Roman" w:hAnsi="Times New Roman" w:cs="Times New Roman"/>
          <w:sz w:val="24"/>
          <w:szCs w:val="24"/>
        </w:rPr>
        <w:t xml:space="preserve">Zdroj: </w:t>
      </w:r>
      <w:r>
        <w:rPr>
          <w:rFonts w:ascii="Times New Roman" w:hAnsi="Times New Roman" w:cs="Times New Roman"/>
          <w:color w:val="000000" w:themeColor="text1"/>
          <w:sz w:val="24"/>
          <w:szCs w:val="24"/>
        </w:rPr>
        <w:t>statistické úřady srovnávaných zemí</w:t>
      </w:r>
      <w:r>
        <w:rPr>
          <w:rFonts w:ascii="Times New Roman" w:hAnsi="Times New Roman" w:cs="Times New Roman"/>
          <w:sz w:val="24"/>
          <w:szCs w:val="24"/>
        </w:rPr>
        <w:t>, vlastní zpracování autora</w:t>
      </w:r>
    </w:p>
    <w:p w:rsidR="009F61EA" w:rsidRDefault="003101E4" w:rsidP="007A6544">
      <w:pPr>
        <w:pBdr>
          <w:top w:val="nil"/>
          <w:left w:val="nil"/>
          <w:bottom w:val="nil"/>
          <w:right w:val="nil"/>
          <w:between w:val="nil"/>
          <w:bar w:val="nil"/>
        </w:pBdr>
        <w:spacing w:before="120" w:after="240" w:line="360" w:lineRule="auto"/>
        <w:jc w:val="both"/>
        <w:rPr>
          <w:rFonts w:ascii="Times New Roman" w:hAnsi="Times New Roman" w:cs="Times New Roman"/>
          <w:sz w:val="24"/>
          <w:szCs w:val="24"/>
        </w:rPr>
      </w:pPr>
      <w:r w:rsidRPr="003101E4">
        <w:rPr>
          <w:rFonts w:ascii="Times New Roman" w:hAnsi="Times New Roman" w:cs="Times New Roman"/>
          <w:sz w:val="24"/>
          <w:szCs w:val="24"/>
        </w:rPr>
        <w:t>V absolutním srovnání je pohledem do grafu v počtu nově vystavěných bytů odskočené Polsko. Je to dáno velikostí</w:t>
      </w:r>
      <w:r w:rsidR="00647525">
        <w:rPr>
          <w:rFonts w:ascii="Times New Roman" w:hAnsi="Times New Roman" w:cs="Times New Roman"/>
          <w:sz w:val="24"/>
          <w:szCs w:val="24"/>
        </w:rPr>
        <w:t xml:space="preserve"> ekonomiky</w:t>
      </w:r>
      <w:r w:rsidRPr="003101E4">
        <w:rPr>
          <w:rFonts w:ascii="Times New Roman" w:hAnsi="Times New Roman" w:cs="Times New Roman"/>
          <w:sz w:val="24"/>
          <w:szCs w:val="24"/>
        </w:rPr>
        <w:t xml:space="preserve"> země</w:t>
      </w:r>
      <w:r w:rsidR="00647525">
        <w:rPr>
          <w:rFonts w:ascii="Times New Roman" w:hAnsi="Times New Roman" w:cs="Times New Roman"/>
          <w:sz w:val="24"/>
          <w:szCs w:val="24"/>
        </w:rPr>
        <w:t xml:space="preserve"> respektive počtem obyvatel</w:t>
      </w:r>
      <w:r w:rsidRPr="003101E4">
        <w:rPr>
          <w:rFonts w:ascii="Times New Roman" w:hAnsi="Times New Roman" w:cs="Times New Roman"/>
          <w:sz w:val="24"/>
          <w:szCs w:val="24"/>
        </w:rPr>
        <w:t xml:space="preserve">. I když je již ze </w:t>
      </w:r>
      <w:r w:rsidR="00647525">
        <w:rPr>
          <w:rFonts w:ascii="Times New Roman" w:hAnsi="Times New Roman" w:cs="Times New Roman"/>
          <w:sz w:val="24"/>
          <w:szCs w:val="24"/>
        </w:rPr>
        <w:t>samotného směru jednotlivých linií grafu</w:t>
      </w:r>
      <w:r w:rsidRPr="003101E4">
        <w:rPr>
          <w:rFonts w:ascii="Times New Roman" w:hAnsi="Times New Roman" w:cs="Times New Roman"/>
          <w:sz w:val="24"/>
          <w:szCs w:val="24"/>
        </w:rPr>
        <w:t xml:space="preserve"> patrné určité srovnání (</w:t>
      </w:r>
      <w:r>
        <w:rPr>
          <w:rFonts w:ascii="Times New Roman" w:hAnsi="Times New Roman" w:cs="Times New Roman"/>
          <w:sz w:val="24"/>
          <w:szCs w:val="24"/>
        </w:rPr>
        <w:t>směr linie grafu</w:t>
      </w:r>
      <w:r w:rsidRPr="003101E4">
        <w:rPr>
          <w:rFonts w:ascii="Times New Roman" w:hAnsi="Times New Roman" w:cs="Times New Roman"/>
          <w:sz w:val="24"/>
          <w:szCs w:val="24"/>
        </w:rPr>
        <w:t xml:space="preserve"> u Polska </w:t>
      </w:r>
      <w:r>
        <w:rPr>
          <w:rFonts w:ascii="Times New Roman" w:hAnsi="Times New Roman" w:cs="Times New Roman"/>
          <w:sz w:val="24"/>
          <w:szCs w:val="24"/>
        </w:rPr>
        <w:t xml:space="preserve">již samotný </w:t>
      </w:r>
      <w:r w:rsidRPr="003101E4">
        <w:rPr>
          <w:rFonts w:ascii="Times New Roman" w:hAnsi="Times New Roman" w:cs="Times New Roman"/>
          <w:sz w:val="24"/>
          <w:szCs w:val="24"/>
        </w:rPr>
        <w:t>naznačuje nejvyšší dynamiku růstu), bude opět nutné soustředit svou pozornost na relativní srovnání, tedy na dynamiku růstu</w:t>
      </w:r>
      <w:r w:rsidR="00647525">
        <w:rPr>
          <w:rFonts w:ascii="Times New Roman" w:hAnsi="Times New Roman" w:cs="Times New Roman"/>
          <w:sz w:val="24"/>
          <w:szCs w:val="24"/>
        </w:rPr>
        <w:t xml:space="preserve"> výstavby nových bytových jednotek</w:t>
      </w:r>
      <w:r w:rsidRPr="003101E4">
        <w:rPr>
          <w:rFonts w:ascii="Times New Roman" w:hAnsi="Times New Roman" w:cs="Times New Roman"/>
          <w:sz w:val="24"/>
          <w:szCs w:val="24"/>
        </w:rPr>
        <w:t>. Ta byla i v tomto případě měřen</w:t>
      </w:r>
      <w:r>
        <w:rPr>
          <w:rFonts w:ascii="Times New Roman" w:hAnsi="Times New Roman" w:cs="Times New Roman"/>
          <w:sz w:val="24"/>
          <w:szCs w:val="24"/>
        </w:rPr>
        <w:t>a koeficienty růstu</w:t>
      </w:r>
      <w:r w:rsidR="00647525">
        <w:rPr>
          <w:rFonts w:ascii="Times New Roman" w:hAnsi="Times New Roman" w:cs="Times New Roman"/>
          <w:sz w:val="24"/>
          <w:szCs w:val="24"/>
        </w:rPr>
        <w:t>. Nejvyšší růst ve sledovaném období zaznamenalo již výše zmíněné</w:t>
      </w:r>
      <w:r>
        <w:rPr>
          <w:rFonts w:ascii="Times New Roman" w:hAnsi="Times New Roman" w:cs="Times New Roman"/>
          <w:sz w:val="24"/>
          <w:szCs w:val="24"/>
        </w:rPr>
        <w:t xml:space="preserve"> </w:t>
      </w:r>
      <w:r w:rsidRPr="003101E4">
        <w:rPr>
          <w:rFonts w:ascii="Times New Roman" w:hAnsi="Times New Roman" w:cs="Times New Roman"/>
          <w:sz w:val="24"/>
          <w:szCs w:val="24"/>
        </w:rPr>
        <w:t>Polsko, a to konkrétně o 4,8% ročně, poměrně značně je odskočené a zaostává Slovensko s růstem 2,25%  a Česko s růstem 1,66% za rok. Maďarsko zaznamenalo mírný pokles na úrovni</w:t>
      </w:r>
      <w:r w:rsidR="00647525">
        <w:rPr>
          <w:rFonts w:ascii="Times New Roman" w:hAnsi="Times New Roman" w:cs="Times New Roman"/>
          <w:sz w:val="24"/>
          <w:szCs w:val="24"/>
        </w:rPr>
        <w:t xml:space="preserve"> -</w:t>
      </w:r>
      <w:r w:rsidRPr="003101E4">
        <w:rPr>
          <w:rFonts w:ascii="Times New Roman" w:hAnsi="Times New Roman" w:cs="Times New Roman"/>
          <w:sz w:val="24"/>
          <w:szCs w:val="24"/>
        </w:rPr>
        <w:t xml:space="preserve"> 0,39 % za rok. </w:t>
      </w:r>
    </w:p>
    <w:p w:rsidR="003B76AF" w:rsidRPr="007A6544" w:rsidRDefault="007B3E10" w:rsidP="007A6544">
      <w:pPr>
        <w:pBdr>
          <w:top w:val="nil"/>
          <w:left w:val="nil"/>
          <w:bottom w:val="nil"/>
          <w:right w:val="nil"/>
          <w:between w:val="nil"/>
          <w:bar w:val="nil"/>
        </w:pBd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Dynamiku růstu </w:t>
      </w:r>
      <w:r w:rsidR="009F61EA">
        <w:rPr>
          <w:rFonts w:ascii="Times New Roman" w:hAnsi="Times New Roman" w:cs="Times New Roman"/>
          <w:sz w:val="24"/>
          <w:szCs w:val="24"/>
        </w:rPr>
        <w:t>zkolaudovaných bytů a domů může do značné míry</w:t>
      </w:r>
      <w:r>
        <w:rPr>
          <w:rFonts w:ascii="Times New Roman" w:hAnsi="Times New Roman" w:cs="Times New Roman"/>
          <w:sz w:val="24"/>
          <w:szCs w:val="24"/>
        </w:rPr>
        <w:t xml:space="preserve"> zkreslovat výchozí základna, v tomto případě výchozí základna v počtu zkolaudovaných bytových jednotek.</w:t>
      </w:r>
      <w:r w:rsidR="009F61EA">
        <w:rPr>
          <w:rFonts w:ascii="Times New Roman" w:hAnsi="Times New Roman" w:cs="Times New Roman"/>
          <w:sz w:val="24"/>
          <w:szCs w:val="24"/>
        </w:rPr>
        <w:t xml:space="preserve"> Ta byla např. v Česku na počátku sledovaného období velmi nízká.</w:t>
      </w:r>
      <w:r>
        <w:rPr>
          <w:rFonts w:ascii="Times New Roman" w:hAnsi="Times New Roman" w:cs="Times New Roman"/>
          <w:sz w:val="24"/>
          <w:szCs w:val="24"/>
        </w:rPr>
        <w:t xml:space="preserve"> Lze se tedy podívat např. na vývoj poměru počtu dokončených rezidenčních nemovitostí a počtu obyvatel. Mimo jiné je </w:t>
      </w:r>
      <w:r>
        <w:rPr>
          <w:rFonts w:ascii="Times New Roman" w:hAnsi="Times New Roman" w:cs="Times New Roman"/>
          <w:sz w:val="24"/>
          <w:szCs w:val="24"/>
        </w:rPr>
        <w:lastRenderedPageBreak/>
        <w:t>tím též možné usuzovat na reakci trhu na potřeby vyvíjející se populace. V tomto ohledu naprosto zaostává Česko. Zatímco v Polsku, na Slovensku a v Maďarsku (zde se ale situace v posledních letech výrazně zhoršila) se uvedený poměr pohybuje ve stovkách obyvatel na jeden dokončený byt, v Česku je tento poměr na úrovni tisíců. Alarmující jsou poslední dva roky 2020 a 2021, kdy se tento poměr</w:t>
      </w:r>
      <w:r w:rsidR="009F61EA">
        <w:rPr>
          <w:rFonts w:ascii="Times New Roman" w:hAnsi="Times New Roman" w:cs="Times New Roman"/>
          <w:sz w:val="24"/>
          <w:szCs w:val="24"/>
        </w:rPr>
        <w:t xml:space="preserve"> pohybuje na úrovni kolem</w:t>
      </w:r>
      <w:r>
        <w:rPr>
          <w:rFonts w:ascii="Times New Roman" w:hAnsi="Times New Roman" w:cs="Times New Roman"/>
          <w:sz w:val="24"/>
          <w:szCs w:val="24"/>
        </w:rPr>
        <w:t xml:space="preserve"> 2,5 </w:t>
      </w:r>
      <w:r w:rsidR="009F61EA">
        <w:rPr>
          <w:rFonts w:ascii="Times New Roman" w:hAnsi="Times New Roman" w:cs="Times New Roman"/>
          <w:sz w:val="24"/>
          <w:szCs w:val="24"/>
        </w:rPr>
        <w:t>tis. lidí na jednu dokončenou jednotku,</w:t>
      </w:r>
      <w:r>
        <w:rPr>
          <w:rFonts w:ascii="Times New Roman" w:hAnsi="Times New Roman" w:cs="Times New Roman"/>
          <w:sz w:val="24"/>
          <w:szCs w:val="24"/>
        </w:rPr>
        <w:t xml:space="preserve"> zatímco v Polsku </w:t>
      </w:r>
      <w:r w:rsidR="009F61EA">
        <w:rPr>
          <w:rFonts w:ascii="Times New Roman" w:hAnsi="Times New Roman" w:cs="Times New Roman"/>
          <w:sz w:val="24"/>
          <w:szCs w:val="24"/>
        </w:rPr>
        <w:t>je to cca 14 krát méně (163</w:t>
      </w:r>
      <w:r w:rsidR="003F6637">
        <w:rPr>
          <w:rFonts w:ascii="Times New Roman" w:hAnsi="Times New Roman" w:cs="Times New Roman"/>
          <w:sz w:val="24"/>
          <w:szCs w:val="24"/>
        </w:rPr>
        <w:t xml:space="preserve"> obyvatel na nový byt</w:t>
      </w:r>
      <w:r w:rsidR="009F61EA">
        <w:rPr>
          <w:rFonts w:ascii="Times New Roman" w:hAnsi="Times New Roman" w:cs="Times New Roman"/>
          <w:sz w:val="24"/>
          <w:szCs w:val="24"/>
        </w:rPr>
        <w:t xml:space="preserve">). </w:t>
      </w:r>
      <w:r>
        <w:rPr>
          <w:rFonts w:ascii="Times New Roman" w:hAnsi="Times New Roman" w:cs="Times New Roman"/>
          <w:sz w:val="24"/>
          <w:szCs w:val="24"/>
        </w:rPr>
        <w:t xml:space="preserve">     </w:t>
      </w:r>
      <w:r w:rsidR="003101E4" w:rsidRPr="003101E4">
        <w:rPr>
          <w:rFonts w:ascii="Times New Roman" w:hAnsi="Times New Roman" w:cs="Times New Roman"/>
          <w:sz w:val="24"/>
          <w:szCs w:val="24"/>
        </w:rPr>
        <w:t xml:space="preserve">      </w:t>
      </w:r>
    </w:p>
    <w:p w:rsidR="00AC2F82" w:rsidRPr="007A6544" w:rsidRDefault="003B76AF" w:rsidP="007A6544">
      <w:pPr>
        <w:spacing w:before="120" w:after="240"/>
        <w:rPr>
          <w:rFonts w:ascii="Times New Roman" w:hAnsi="Times New Roman" w:cs="Times New Roman"/>
          <w:b/>
          <w:sz w:val="28"/>
          <w:szCs w:val="28"/>
        </w:rPr>
      </w:pPr>
      <w:r w:rsidRPr="007A6544">
        <w:rPr>
          <w:rFonts w:ascii="Times New Roman" w:hAnsi="Times New Roman" w:cs="Times New Roman"/>
          <w:b/>
          <w:sz w:val="28"/>
          <w:szCs w:val="28"/>
        </w:rPr>
        <w:t>2. Diskuze, závěr</w:t>
      </w:r>
    </w:p>
    <w:p w:rsidR="00A17168" w:rsidRDefault="003B76AF" w:rsidP="00432C38">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Srovnání vývoje cen bytových jednotek na realitních trzích zemí V4 poukázalo na skutečnost rozdílné dynamiky jejich růstu v jednotlivých zemích. Zatímco v Maďarsku vzrostly reálné ceny rezidenčních nemovitostí od roku 2015 </w:t>
      </w:r>
      <w:r w:rsidR="00A17168">
        <w:rPr>
          <w:rFonts w:ascii="Times New Roman" w:hAnsi="Times New Roman" w:cs="Times New Roman"/>
          <w:sz w:val="24"/>
          <w:szCs w:val="24"/>
        </w:rPr>
        <w:t>o více jak dvojnásobek, v Polsku byl tento růst zhruba poloviční. Příčinou tohoto rozdílu by měl být rozdílný vývoj faktorů, které ceny na realitních trzích determinují. Byl tedy sledován a porovnáván vývoj počtu obyvatel, vývoj HDP, vývoj průměrných mezd, vývoj inflace, vývoj úrokových sazeb u hypoték a vývoj počtu dokončených bytových jednotek.</w:t>
      </w:r>
      <w:r w:rsidR="007A6544">
        <w:rPr>
          <w:rFonts w:ascii="Times New Roman" w:hAnsi="Times New Roman" w:cs="Times New Roman"/>
          <w:sz w:val="24"/>
          <w:szCs w:val="24"/>
        </w:rPr>
        <w:t xml:space="preserve"> První čtyři faktory </w:t>
      </w:r>
      <w:r w:rsidR="00B86B7A">
        <w:rPr>
          <w:rFonts w:ascii="Times New Roman" w:hAnsi="Times New Roman" w:cs="Times New Roman"/>
          <w:sz w:val="24"/>
          <w:szCs w:val="24"/>
        </w:rPr>
        <w:t xml:space="preserve">korelují s cenou nemovitostí </w:t>
      </w:r>
      <w:proofErr w:type="spellStart"/>
      <w:r w:rsidR="00B86B7A">
        <w:rPr>
          <w:rFonts w:ascii="Times New Roman" w:hAnsi="Times New Roman" w:cs="Times New Roman"/>
          <w:sz w:val="24"/>
          <w:szCs w:val="24"/>
        </w:rPr>
        <w:t>přímoúměrně</w:t>
      </w:r>
      <w:proofErr w:type="spellEnd"/>
      <w:r w:rsidR="00B86B7A">
        <w:rPr>
          <w:rFonts w:ascii="Times New Roman" w:hAnsi="Times New Roman" w:cs="Times New Roman"/>
          <w:sz w:val="24"/>
          <w:szCs w:val="24"/>
        </w:rPr>
        <w:t xml:space="preserve">, druhé dva </w:t>
      </w:r>
      <w:proofErr w:type="spellStart"/>
      <w:r w:rsidR="00B86B7A">
        <w:rPr>
          <w:rFonts w:ascii="Times New Roman" w:hAnsi="Times New Roman" w:cs="Times New Roman"/>
          <w:sz w:val="24"/>
          <w:szCs w:val="24"/>
        </w:rPr>
        <w:t>nepřímoúměrně</w:t>
      </w:r>
      <w:proofErr w:type="spellEnd"/>
      <w:r w:rsidR="00B86B7A">
        <w:rPr>
          <w:rFonts w:ascii="Times New Roman" w:hAnsi="Times New Roman" w:cs="Times New Roman"/>
          <w:sz w:val="24"/>
          <w:szCs w:val="24"/>
        </w:rPr>
        <w:t xml:space="preserve">. </w:t>
      </w:r>
      <w:r w:rsidR="00A17168">
        <w:rPr>
          <w:rFonts w:ascii="Times New Roman" w:hAnsi="Times New Roman" w:cs="Times New Roman"/>
          <w:sz w:val="24"/>
          <w:szCs w:val="24"/>
        </w:rPr>
        <w:t>Výsledek tohoto srovnání souhrnně a komplexně zobrazuje tabulka č. 1.</w:t>
      </w:r>
    </w:p>
    <w:p w:rsidR="007A6544" w:rsidRDefault="006F0850" w:rsidP="007A6544">
      <w:pPr>
        <w:spacing w:before="120" w:after="240" w:line="360" w:lineRule="auto"/>
        <w:rPr>
          <w:rFonts w:ascii="Times New Roman" w:hAnsi="Times New Roman" w:cs="Times New Roman"/>
          <w:sz w:val="24"/>
          <w:szCs w:val="24"/>
        </w:rPr>
      </w:pPr>
      <w:r>
        <w:rPr>
          <w:rFonts w:ascii="Times New Roman" w:hAnsi="Times New Roman" w:cs="Times New Roman"/>
          <w:sz w:val="24"/>
          <w:szCs w:val="24"/>
        </w:rPr>
        <w:t>Tabulka 1: Výsled</w:t>
      </w:r>
      <w:r w:rsidR="007A6544">
        <w:rPr>
          <w:rFonts w:ascii="Times New Roman" w:hAnsi="Times New Roman" w:cs="Times New Roman"/>
          <w:sz w:val="24"/>
          <w:szCs w:val="24"/>
        </w:rPr>
        <w:t>k</w:t>
      </w:r>
      <w:r>
        <w:rPr>
          <w:rFonts w:ascii="Times New Roman" w:hAnsi="Times New Roman" w:cs="Times New Roman"/>
          <w:sz w:val="24"/>
          <w:szCs w:val="24"/>
        </w:rPr>
        <w:t>y</w:t>
      </w:r>
      <w:r w:rsidR="007A6544">
        <w:rPr>
          <w:rFonts w:ascii="Times New Roman" w:hAnsi="Times New Roman" w:cs="Times New Roman"/>
          <w:sz w:val="24"/>
          <w:szCs w:val="24"/>
        </w:rPr>
        <w:t xml:space="preserve"> za jednotlivé faktory, souhrnné pořadí </w:t>
      </w:r>
    </w:p>
    <w:tbl>
      <w:tblPr>
        <w:tblStyle w:val="Mkatabulky"/>
        <w:tblW w:w="0" w:type="auto"/>
        <w:tblLayout w:type="fixed"/>
        <w:tblLook w:val="04A0"/>
      </w:tblPr>
      <w:tblGrid>
        <w:gridCol w:w="1613"/>
        <w:gridCol w:w="1154"/>
        <w:gridCol w:w="1154"/>
        <w:gridCol w:w="1155"/>
        <w:gridCol w:w="1154"/>
        <w:gridCol w:w="1154"/>
        <w:gridCol w:w="1155"/>
      </w:tblGrid>
      <w:tr w:rsidR="00C775B6" w:rsidTr="00227B59">
        <w:tc>
          <w:tcPr>
            <w:tcW w:w="1613" w:type="dxa"/>
            <w:shd w:val="clear" w:color="auto" w:fill="00B050"/>
          </w:tcPr>
          <w:p w:rsidR="00C775B6" w:rsidRDefault="00C775B6" w:rsidP="007A6544">
            <w:pPr>
              <w:spacing w:before="120" w:after="240" w:line="360" w:lineRule="auto"/>
              <w:rPr>
                <w:rFonts w:ascii="Times New Roman" w:hAnsi="Times New Roman" w:cs="Times New Roman"/>
                <w:sz w:val="24"/>
                <w:szCs w:val="24"/>
              </w:rPr>
            </w:pPr>
            <w:r>
              <w:rPr>
                <w:rFonts w:ascii="Times New Roman" w:hAnsi="Times New Roman" w:cs="Times New Roman"/>
                <w:sz w:val="24"/>
                <w:szCs w:val="24"/>
              </w:rPr>
              <w:t>Země/faktor</w:t>
            </w:r>
          </w:p>
        </w:tc>
        <w:tc>
          <w:tcPr>
            <w:tcW w:w="1154" w:type="dxa"/>
            <w:shd w:val="clear" w:color="auto" w:fill="00B050"/>
          </w:tcPr>
          <w:p w:rsidR="00C775B6" w:rsidRDefault="00C775B6" w:rsidP="007A6544">
            <w:pPr>
              <w:spacing w:before="120" w:after="240" w:line="360" w:lineRule="auto"/>
              <w:rPr>
                <w:rFonts w:ascii="Times New Roman" w:hAnsi="Times New Roman" w:cs="Times New Roman"/>
                <w:sz w:val="24"/>
                <w:szCs w:val="24"/>
              </w:rPr>
            </w:pPr>
            <w:r>
              <w:rPr>
                <w:rFonts w:ascii="Times New Roman" w:hAnsi="Times New Roman" w:cs="Times New Roman"/>
                <w:sz w:val="24"/>
                <w:szCs w:val="24"/>
              </w:rPr>
              <w:t>Růst cen</w:t>
            </w:r>
          </w:p>
        </w:tc>
        <w:tc>
          <w:tcPr>
            <w:tcW w:w="1154" w:type="dxa"/>
            <w:shd w:val="clear" w:color="auto" w:fill="00B050"/>
          </w:tcPr>
          <w:p w:rsidR="00C775B6" w:rsidRDefault="00C775B6" w:rsidP="007A6544">
            <w:pPr>
              <w:spacing w:before="120" w:after="240" w:line="360" w:lineRule="auto"/>
              <w:rPr>
                <w:rFonts w:ascii="Times New Roman" w:hAnsi="Times New Roman" w:cs="Times New Roman"/>
                <w:sz w:val="24"/>
                <w:szCs w:val="24"/>
              </w:rPr>
            </w:pPr>
            <w:r>
              <w:rPr>
                <w:rFonts w:ascii="Times New Roman" w:hAnsi="Times New Roman" w:cs="Times New Roman"/>
                <w:sz w:val="24"/>
                <w:szCs w:val="24"/>
              </w:rPr>
              <w:t>Počet obyvatel</w:t>
            </w:r>
          </w:p>
        </w:tc>
        <w:tc>
          <w:tcPr>
            <w:tcW w:w="1155" w:type="dxa"/>
            <w:shd w:val="clear" w:color="auto" w:fill="00B050"/>
          </w:tcPr>
          <w:p w:rsidR="00C775B6" w:rsidRDefault="00C775B6" w:rsidP="007A6544">
            <w:pPr>
              <w:spacing w:before="120" w:after="240" w:line="360" w:lineRule="auto"/>
              <w:rPr>
                <w:rFonts w:ascii="Times New Roman" w:hAnsi="Times New Roman" w:cs="Times New Roman"/>
                <w:sz w:val="24"/>
                <w:szCs w:val="24"/>
              </w:rPr>
            </w:pPr>
            <w:r>
              <w:rPr>
                <w:rFonts w:ascii="Times New Roman" w:hAnsi="Times New Roman" w:cs="Times New Roman"/>
                <w:sz w:val="24"/>
                <w:szCs w:val="24"/>
              </w:rPr>
              <w:t>HDP</w:t>
            </w:r>
          </w:p>
        </w:tc>
        <w:tc>
          <w:tcPr>
            <w:tcW w:w="1154" w:type="dxa"/>
            <w:shd w:val="clear" w:color="auto" w:fill="00B050"/>
          </w:tcPr>
          <w:p w:rsidR="00C775B6" w:rsidRDefault="00C775B6" w:rsidP="007A6544">
            <w:pPr>
              <w:spacing w:before="120" w:after="240" w:line="360" w:lineRule="auto"/>
              <w:rPr>
                <w:rFonts w:ascii="Times New Roman" w:hAnsi="Times New Roman" w:cs="Times New Roman"/>
                <w:sz w:val="24"/>
                <w:szCs w:val="24"/>
              </w:rPr>
            </w:pPr>
            <w:r>
              <w:rPr>
                <w:rFonts w:ascii="Times New Roman" w:hAnsi="Times New Roman" w:cs="Times New Roman"/>
                <w:sz w:val="24"/>
                <w:szCs w:val="24"/>
              </w:rPr>
              <w:t>Průměrné mzdy</w:t>
            </w:r>
          </w:p>
        </w:tc>
        <w:tc>
          <w:tcPr>
            <w:tcW w:w="1154" w:type="dxa"/>
            <w:shd w:val="clear" w:color="auto" w:fill="00B050"/>
          </w:tcPr>
          <w:p w:rsidR="00C775B6" w:rsidRDefault="00C775B6" w:rsidP="007A6544">
            <w:pPr>
              <w:spacing w:before="120" w:after="240" w:line="360" w:lineRule="auto"/>
              <w:rPr>
                <w:rFonts w:ascii="Times New Roman" w:hAnsi="Times New Roman" w:cs="Times New Roman"/>
                <w:sz w:val="24"/>
                <w:szCs w:val="24"/>
              </w:rPr>
            </w:pPr>
            <w:r>
              <w:rPr>
                <w:rFonts w:ascii="Times New Roman" w:hAnsi="Times New Roman" w:cs="Times New Roman"/>
                <w:sz w:val="24"/>
                <w:szCs w:val="24"/>
              </w:rPr>
              <w:t>Inflace</w:t>
            </w:r>
          </w:p>
        </w:tc>
        <w:tc>
          <w:tcPr>
            <w:tcW w:w="1155" w:type="dxa"/>
            <w:shd w:val="clear" w:color="auto" w:fill="00B050"/>
          </w:tcPr>
          <w:p w:rsidR="00C775B6" w:rsidRDefault="00C775B6" w:rsidP="007A6544">
            <w:pPr>
              <w:spacing w:before="120" w:after="240" w:line="360" w:lineRule="auto"/>
              <w:rPr>
                <w:rFonts w:ascii="Times New Roman" w:hAnsi="Times New Roman" w:cs="Times New Roman"/>
                <w:sz w:val="24"/>
                <w:szCs w:val="24"/>
              </w:rPr>
            </w:pPr>
            <w:r>
              <w:rPr>
                <w:rFonts w:ascii="Times New Roman" w:hAnsi="Times New Roman" w:cs="Times New Roman"/>
                <w:sz w:val="24"/>
                <w:szCs w:val="24"/>
              </w:rPr>
              <w:t xml:space="preserve"> Byty na obyvatele</w:t>
            </w:r>
          </w:p>
        </w:tc>
      </w:tr>
      <w:tr w:rsidR="00C775B6" w:rsidTr="00227B59">
        <w:tc>
          <w:tcPr>
            <w:tcW w:w="1613" w:type="dxa"/>
          </w:tcPr>
          <w:p w:rsidR="00C775B6" w:rsidRPr="00227B59" w:rsidRDefault="00C775B6" w:rsidP="007A6544">
            <w:pPr>
              <w:spacing w:before="120" w:after="240" w:line="360" w:lineRule="auto"/>
              <w:rPr>
                <w:rFonts w:ascii="Times New Roman" w:hAnsi="Times New Roman" w:cs="Times New Roman"/>
                <w:b/>
                <w:sz w:val="24"/>
                <w:szCs w:val="24"/>
              </w:rPr>
            </w:pPr>
            <w:r w:rsidRPr="00227B59">
              <w:rPr>
                <w:rFonts w:ascii="Times New Roman" w:hAnsi="Times New Roman" w:cs="Times New Roman"/>
                <w:b/>
                <w:sz w:val="24"/>
                <w:szCs w:val="24"/>
              </w:rPr>
              <w:t>Česko</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2</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1</w:t>
            </w:r>
          </w:p>
        </w:tc>
        <w:tc>
          <w:tcPr>
            <w:tcW w:w="1155"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1</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1</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4</w:t>
            </w:r>
          </w:p>
        </w:tc>
        <w:tc>
          <w:tcPr>
            <w:tcW w:w="1155"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4</w:t>
            </w:r>
          </w:p>
        </w:tc>
      </w:tr>
      <w:tr w:rsidR="00C775B6" w:rsidTr="00227B59">
        <w:tc>
          <w:tcPr>
            <w:tcW w:w="1613" w:type="dxa"/>
          </w:tcPr>
          <w:p w:rsidR="00C775B6" w:rsidRPr="00227B59" w:rsidRDefault="00C775B6" w:rsidP="007A6544">
            <w:pPr>
              <w:spacing w:before="120" w:after="240" w:line="360" w:lineRule="auto"/>
              <w:rPr>
                <w:rFonts w:ascii="Times New Roman" w:hAnsi="Times New Roman" w:cs="Times New Roman"/>
                <w:b/>
                <w:sz w:val="24"/>
                <w:szCs w:val="24"/>
              </w:rPr>
            </w:pPr>
            <w:r w:rsidRPr="00227B59">
              <w:rPr>
                <w:rFonts w:ascii="Times New Roman" w:hAnsi="Times New Roman" w:cs="Times New Roman"/>
                <w:b/>
                <w:sz w:val="24"/>
                <w:szCs w:val="24"/>
              </w:rPr>
              <w:t>Slovensko</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3</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2</w:t>
            </w:r>
          </w:p>
        </w:tc>
        <w:tc>
          <w:tcPr>
            <w:tcW w:w="1155"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2</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2</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2</w:t>
            </w:r>
          </w:p>
        </w:tc>
        <w:tc>
          <w:tcPr>
            <w:tcW w:w="1155"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2</w:t>
            </w:r>
          </w:p>
        </w:tc>
      </w:tr>
      <w:tr w:rsidR="00C775B6" w:rsidTr="00227B59">
        <w:tc>
          <w:tcPr>
            <w:tcW w:w="1613" w:type="dxa"/>
          </w:tcPr>
          <w:p w:rsidR="00C775B6" w:rsidRPr="00227B59" w:rsidRDefault="00C775B6" w:rsidP="007A6544">
            <w:pPr>
              <w:spacing w:before="120" w:after="240" w:line="360" w:lineRule="auto"/>
              <w:rPr>
                <w:rFonts w:ascii="Times New Roman" w:hAnsi="Times New Roman" w:cs="Times New Roman"/>
                <w:b/>
                <w:sz w:val="24"/>
                <w:szCs w:val="24"/>
              </w:rPr>
            </w:pPr>
            <w:r w:rsidRPr="00227B59">
              <w:rPr>
                <w:rFonts w:ascii="Times New Roman" w:hAnsi="Times New Roman" w:cs="Times New Roman"/>
                <w:b/>
                <w:sz w:val="24"/>
                <w:szCs w:val="24"/>
              </w:rPr>
              <w:t>Polsko</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4</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3</w:t>
            </w:r>
          </w:p>
        </w:tc>
        <w:tc>
          <w:tcPr>
            <w:tcW w:w="1155"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3</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3</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3</w:t>
            </w:r>
          </w:p>
        </w:tc>
        <w:tc>
          <w:tcPr>
            <w:tcW w:w="1155"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1</w:t>
            </w:r>
          </w:p>
        </w:tc>
      </w:tr>
      <w:tr w:rsidR="00C775B6" w:rsidTr="00227B59">
        <w:tc>
          <w:tcPr>
            <w:tcW w:w="1613" w:type="dxa"/>
          </w:tcPr>
          <w:p w:rsidR="00C775B6" w:rsidRPr="00227B59" w:rsidRDefault="00C775B6" w:rsidP="007A6544">
            <w:pPr>
              <w:spacing w:before="120" w:after="240" w:line="360" w:lineRule="auto"/>
              <w:rPr>
                <w:rFonts w:ascii="Times New Roman" w:hAnsi="Times New Roman" w:cs="Times New Roman"/>
                <w:b/>
                <w:sz w:val="24"/>
                <w:szCs w:val="24"/>
              </w:rPr>
            </w:pPr>
            <w:r w:rsidRPr="00227B59">
              <w:rPr>
                <w:rFonts w:ascii="Times New Roman" w:hAnsi="Times New Roman" w:cs="Times New Roman"/>
                <w:b/>
                <w:sz w:val="24"/>
                <w:szCs w:val="24"/>
              </w:rPr>
              <w:t>Maďarsko</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1</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4</w:t>
            </w:r>
          </w:p>
        </w:tc>
        <w:tc>
          <w:tcPr>
            <w:tcW w:w="1155"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4</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4</w:t>
            </w:r>
          </w:p>
        </w:tc>
        <w:tc>
          <w:tcPr>
            <w:tcW w:w="1154"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1</w:t>
            </w:r>
          </w:p>
        </w:tc>
        <w:tc>
          <w:tcPr>
            <w:tcW w:w="1155" w:type="dxa"/>
          </w:tcPr>
          <w:p w:rsidR="00C775B6" w:rsidRPr="00227B59" w:rsidRDefault="00C775B6" w:rsidP="007A6544">
            <w:pPr>
              <w:spacing w:before="120" w:after="240" w:line="360" w:lineRule="auto"/>
              <w:rPr>
                <w:rFonts w:ascii="Times New Roman" w:hAnsi="Times New Roman" w:cs="Times New Roman"/>
                <w:sz w:val="24"/>
                <w:szCs w:val="24"/>
              </w:rPr>
            </w:pPr>
            <w:r w:rsidRPr="00227B59">
              <w:rPr>
                <w:rFonts w:ascii="Times New Roman" w:hAnsi="Times New Roman" w:cs="Times New Roman"/>
                <w:sz w:val="24"/>
                <w:szCs w:val="24"/>
              </w:rPr>
              <w:t>3</w:t>
            </w:r>
          </w:p>
        </w:tc>
      </w:tr>
    </w:tbl>
    <w:p w:rsidR="00432C38" w:rsidRDefault="00432C38" w:rsidP="00432C38">
      <w:pPr>
        <w:spacing w:before="120" w:after="240"/>
        <w:jc w:val="both"/>
        <w:rPr>
          <w:rFonts w:ascii="Times New Roman" w:hAnsi="Times New Roman" w:cs="Times New Roman"/>
          <w:sz w:val="24"/>
          <w:szCs w:val="24"/>
        </w:rPr>
      </w:pPr>
      <w:r>
        <w:rPr>
          <w:rFonts w:ascii="Times New Roman" w:hAnsi="Times New Roman" w:cs="Times New Roman"/>
          <w:sz w:val="24"/>
          <w:szCs w:val="24"/>
        </w:rPr>
        <w:t>Zdroj: vlastní zpracování</w:t>
      </w:r>
    </w:p>
    <w:p w:rsidR="00432C38" w:rsidRDefault="009F61EA" w:rsidP="00432C38">
      <w:pPr>
        <w:spacing w:before="120" w:after="240"/>
        <w:jc w:val="both"/>
        <w:rPr>
          <w:rFonts w:ascii="Times New Roman" w:hAnsi="Times New Roman" w:cs="Times New Roman"/>
          <w:sz w:val="24"/>
          <w:szCs w:val="24"/>
        </w:rPr>
      </w:pPr>
      <w:r w:rsidRPr="004E08FD">
        <w:rPr>
          <w:rFonts w:ascii="Times New Roman" w:hAnsi="Times New Roman" w:cs="Times New Roman"/>
          <w:sz w:val="24"/>
          <w:szCs w:val="24"/>
        </w:rPr>
        <w:t>Pohledem do uvedené tabulky a z výše popsaného srovnání lze</w:t>
      </w:r>
      <w:r w:rsidR="00847795">
        <w:rPr>
          <w:rFonts w:ascii="Times New Roman" w:hAnsi="Times New Roman" w:cs="Times New Roman"/>
          <w:sz w:val="24"/>
          <w:szCs w:val="24"/>
        </w:rPr>
        <w:t xml:space="preserve"> konstatovat následující závěr.</w:t>
      </w:r>
      <w:r w:rsidRPr="004E08FD">
        <w:rPr>
          <w:rFonts w:ascii="Times New Roman" w:hAnsi="Times New Roman" w:cs="Times New Roman"/>
          <w:sz w:val="24"/>
          <w:szCs w:val="24"/>
        </w:rPr>
        <w:t xml:space="preserve"> </w:t>
      </w:r>
    </w:p>
    <w:p w:rsidR="009F61EA" w:rsidRPr="004E08FD" w:rsidRDefault="00847795" w:rsidP="00432C38">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Hlavní p</w:t>
      </w:r>
      <w:r w:rsidR="00432C38">
        <w:rPr>
          <w:rFonts w:ascii="Times New Roman" w:hAnsi="Times New Roman" w:cs="Times New Roman"/>
          <w:sz w:val="24"/>
          <w:szCs w:val="24"/>
        </w:rPr>
        <w:t xml:space="preserve">říčiny růstu cen nemovitostí jsou u skupiny zkoumaných zemí rozdílné.  </w:t>
      </w:r>
    </w:p>
    <w:p w:rsidR="009F61EA" w:rsidRPr="004E08FD" w:rsidRDefault="004E08FD" w:rsidP="00432C38">
      <w:pPr>
        <w:pBdr>
          <w:top w:val="nil"/>
          <w:left w:val="nil"/>
          <w:bottom w:val="single" w:sz="4" w:space="1" w:color="auto"/>
          <w:right w:val="nil"/>
          <w:between w:val="nil"/>
          <w:bar w:val="nil"/>
        </w:pBdr>
        <w:spacing w:before="120" w:after="240" w:line="360" w:lineRule="auto"/>
        <w:jc w:val="both"/>
        <w:rPr>
          <w:rFonts w:ascii="Times New Roman" w:hAnsi="Times New Roman" w:cs="Times New Roman"/>
          <w:sz w:val="24"/>
          <w:szCs w:val="24"/>
        </w:rPr>
      </w:pPr>
      <w:r w:rsidRPr="004E08FD">
        <w:rPr>
          <w:rFonts w:ascii="Times New Roman" w:hAnsi="Times New Roman" w:cs="Times New Roman"/>
          <w:sz w:val="24"/>
          <w:szCs w:val="24"/>
        </w:rPr>
        <w:lastRenderedPageBreak/>
        <w:t>V zemi s nejvyšší mírou růstu cen nemovitostí, Maďarsku, lze k</w:t>
      </w:r>
      <w:r w:rsidR="003F6637">
        <w:rPr>
          <w:rFonts w:ascii="Times New Roman" w:hAnsi="Times New Roman" w:cs="Times New Roman"/>
          <w:sz w:val="24"/>
          <w:szCs w:val="24"/>
        </w:rPr>
        <w:t>onstatovat, že příčinou tohoto růstu není silná dynamika růstu poptávkových faktorů, jako jsou HDP, průměrná mzda či růst populace,</w:t>
      </w:r>
      <w:r w:rsidRPr="004E08FD">
        <w:rPr>
          <w:rFonts w:ascii="Times New Roman" w:hAnsi="Times New Roman" w:cs="Times New Roman"/>
          <w:sz w:val="24"/>
          <w:szCs w:val="24"/>
        </w:rPr>
        <w:t xml:space="preserve"> </w:t>
      </w:r>
      <w:r w:rsidR="003F6637">
        <w:rPr>
          <w:rFonts w:ascii="Times New Roman" w:hAnsi="Times New Roman" w:cs="Times New Roman"/>
          <w:sz w:val="24"/>
          <w:szCs w:val="24"/>
        </w:rPr>
        <w:t xml:space="preserve">ale </w:t>
      </w:r>
      <w:r w:rsidRPr="004E08FD">
        <w:rPr>
          <w:rFonts w:ascii="Times New Roman" w:hAnsi="Times New Roman" w:cs="Times New Roman"/>
          <w:sz w:val="24"/>
          <w:szCs w:val="24"/>
        </w:rPr>
        <w:t>obecn</w:t>
      </w:r>
      <w:r w:rsidR="003F6637">
        <w:rPr>
          <w:rFonts w:ascii="Times New Roman" w:hAnsi="Times New Roman" w:cs="Times New Roman"/>
          <w:sz w:val="24"/>
          <w:szCs w:val="24"/>
        </w:rPr>
        <w:t>ý růst cenové hladiny a</w:t>
      </w:r>
      <w:r w:rsidRPr="004E08FD">
        <w:rPr>
          <w:rFonts w:ascii="Times New Roman" w:hAnsi="Times New Roman" w:cs="Times New Roman"/>
          <w:sz w:val="24"/>
          <w:szCs w:val="24"/>
        </w:rPr>
        <w:t xml:space="preserve"> nízká úroveň bytové výstavby. </w:t>
      </w:r>
      <w:r w:rsidR="003F6637">
        <w:rPr>
          <w:rFonts w:ascii="Times New Roman" w:hAnsi="Times New Roman" w:cs="Times New Roman"/>
          <w:sz w:val="24"/>
          <w:szCs w:val="24"/>
        </w:rPr>
        <w:t>Tedy je překvapující</w:t>
      </w:r>
      <w:r w:rsidRPr="004E08FD">
        <w:rPr>
          <w:rFonts w:ascii="Times New Roman" w:hAnsi="Times New Roman" w:cs="Times New Roman"/>
          <w:sz w:val="24"/>
          <w:szCs w:val="24"/>
        </w:rPr>
        <w:t xml:space="preserve">, že ačkoli řada zkoumaných faktorů </w:t>
      </w:r>
      <w:r w:rsidR="00227B59">
        <w:rPr>
          <w:rFonts w:ascii="Times New Roman" w:hAnsi="Times New Roman" w:cs="Times New Roman"/>
          <w:sz w:val="24"/>
          <w:szCs w:val="24"/>
        </w:rPr>
        <w:t xml:space="preserve">(pokles počtu obyvatel, relativně nízký růst HDP i mezd) </w:t>
      </w:r>
      <w:r w:rsidR="003F6637">
        <w:rPr>
          <w:rFonts w:ascii="Times New Roman" w:hAnsi="Times New Roman" w:cs="Times New Roman"/>
          <w:sz w:val="24"/>
          <w:szCs w:val="24"/>
        </w:rPr>
        <w:t>je</w:t>
      </w:r>
      <w:r>
        <w:rPr>
          <w:rFonts w:ascii="Times New Roman" w:hAnsi="Times New Roman" w:cs="Times New Roman"/>
          <w:sz w:val="24"/>
          <w:szCs w:val="24"/>
        </w:rPr>
        <w:t xml:space="preserve"> v Maďars</w:t>
      </w:r>
      <w:r w:rsidR="00227B59">
        <w:rPr>
          <w:rFonts w:ascii="Times New Roman" w:hAnsi="Times New Roman" w:cs="Times New Roman"/>
          <w:sz w:val="24"/>
          <w:szCs w:val="24"/>
        </w:rPr>
        <w:t>ku na úrovni signalizující reálně nejnižší</w:t>
      </w:r>
      <w:r>
        <w:rPr>
          <w:rFonts w:ascii="Times New Roman" w:hAnsi="Times New Roman" w:cs="Times New Roman"/>
          <w:sz w:val="24"/>
          <w:szCs w:val="24"/>
        </w:rPr>
        <w:t xml:space="preserve"> cen</w:t>
      </w:r>
      <w:r w:rsidR="00227B59">
        <w:rPr>
          <w:rFonts w:ascii="Times New Roman" w:hAnsi="Times New Roman" w:cs="Times New Roman"/>
          <w:sz w:val="24"/>
          <w:szCs w:val="24"/>
        </w:rPr>
        <w:t>ovou úroveň</w:t>
      </w:r>
      <w:r>
        <w:rPr>
          <w:rFonts w:ascii="Times New Roman" w:hAnsi="Times New Roman" w:cs="Times New Roman"/>
          <w:sz w:val="24"/>
          <w:szCs w:val="24"/>
        </w:rPr>
        <w:t xml:space="preserve"> nemovitostí</w:t>
      </w:r>
      <w:r w:rsidR="00227B59">
        <w:rPr>
          <w:rFonts w:ascii="Times New Roman" w:hAnsi="Times New Roman" w:cs="Times New Roman"/>
          <w:sz w:val="24"/>
          <w:szCs w:val="24"/>
        </w:rPr>
        <w:t xml:space="preserve"> ze srovnávaných zemí, země se</w:t>
      </w:r>
      <w:r w:rsidR="003F6637">
        <w:rPr>
          <w:rFonts w:ascii="Times New Roman" w:hAnsi="Times New Roman" w:cs="Times New Roman"/>
          <w:sz w:val="24"/>
          <w:szCs w:val="24"/>
        </w:rPr>
        <w:t xml:space="preserve"> naopak</w:t>
      </w:r>
      <w:r w:rsidR="00227B59">
        <w:rPr>
          <w:rFonts w:ascii="Times New Roman" w:hAnsi="Times New Roman" w:cs="Times New Roman"/>
          <w:sz w:val="24"/>
          <w:szCs w:val="24"/>
        </w:rPr>
        <w:t xml:space="preserve"> potýká </w:t>
      </w:r>
      <w:r w:rsidR="003F6637">
        <w:rPr>
          <w:rFonts w:ascii="Times New Roman" w:hAnsi="Times New Roman" w:cs="Times New Roman"/>
          <w:sz w:val="24"/>
          <w:szCs w:val="24"/>
        </w:rPr>
        <w:t>s relativně</w:t>
      </w:r>
      <w:r w:rsidR="00227B59">
        <w:rPr>
          <w:rFonts w:ascii="Times New Roman" w:hAnsi="Times New Roman" w:cs="Times New Roman"/>
          <w:sz w:val="24"/>
          <w:szCs w:val="24"/>
        </w:rPr>
        <w:t> nejvyššími</w:t>
      </w:r>
      <w:r>
        <w:rPr>
          <w:rFonts w:ascii="Times New Roman" w:hAnsi="Times New Roman" w:cs="Times New Roman"/>
          <w:sz w:val="24"/>
          <w:szCs w:val="24"/>
        </w:rPr>
        <w:t xml:space="preserve"> cenami na realitním trhu</w:t>
      </w:r>
      <w:r w:rsidR="003F6637">
        <w:rPr>
          <w:rFonts w:ascii="Times New Roman" w:hAnsi="Times New Roman" w:cs="Times New Roman"/>
          <w:sz w:val="24"/>
          <w:szCs w:val="24"/>
        </w:rPr>
        <w:t xml:space="preserve"> ze všech zemí V4</w:t>
      </w:r>
      <w:r>
        <w:rPr>
          <w:rFonts w:ascii="Times New Roman" w:hAnsi="Times New Roman" w:cs="Times New Roman"/>
          <w:sz w:val="24"/>
          <w:szCs w:val="24"/>
        </w:rPr>
        <w:t>. To signalizuje určitý hlubší stupeň nerovno</w:t>
      </w:r>
      <w:r w:rsidR="0095102C">
        <w:rPr>
          <w:rFonts w:ascii="Times New Roman" w:hAnsi="Times New Roman" w:cs="Times New Roman"/>
          <w:sz w:val="24"/>
          <w:szCs w:val="24"/>
        </w:rPr>
        <w:t xml:space="preserve">váhy, který bude </w:t>
      </w:r>
      <w:r w:rsidR="004B32F3">
        <w:rPr>
          <w:rFonts w:ascii="Times New Roman" w:hAnsi="Times New Roman" w:cs="Times New Roman"/>
          <w:sz w:val="24"/>
          <w:szCs w:val="24"/>
        </w:rPr>
        <w:t>nutné důkladně analyzovat</w:t>
      </w:r>
      <w:r w:rsidR="0095102C">
        <w:rPr>
          <w:rFonts w:ascii="Times New Roman" w:hAnsi="Times New Roman" w:cs="Times New Roman"/>
          <w:sz w:val="24"/>
          <w:szCs w:val="24"/>
        </w:rPr>
        <w:t xml:space="preserve"> a jehož řešení nebude snadné.</w:t>
      </w:r>
      <w:r>
        <w:rPr>
          <w:rFonts w:ascii="Times New Roman" w:hAnsi="Times New Roman" w:cs="Times New Roman"/>
          <w:sz w:val="24"/>
          <w:szCs w:val="24"/>
        </w:rPr>
        <w:t xml:space="preserve"> </w:t>
      </w:r>
      <w:r w:rsidRPr="004E08FD">
        <w:rPr>
          <w:rFonts w:ascii="Times New Roman" w:hAnsi="Times New Roman" w:cs="Times New Roman"/>
          <w:sz w:val="24"/>
          <w:szCs w:val="24"/>
        </w:rPr>
        <w:t xml:space="preserve">  </w:t>
      </w:r>
      <w:r w:rsidR="009F61EA" w:rsidRPr="004E08FD">
        <w:rPr>
          <w:rFonts w:ascii="Times New Roman" w:hAnsi="Times New Roman" w:cs="Times New Roman"/>
          <w:sz w:val="24"/>
          <w:szCs w:val="24"/>
        </w:rPr>
        <w:t xml:space="preserve"> </w:t>
      </w:r>
    </w:p>
    <w:p w:rsidR="00F83AC3" w:rsidRPr="00F83AC3" w:rsidRDefault="004E08FD" w:rsidP="00432C38">
      <w:pPr>
        <w:pBdr>
          <w:top w:val="nil"/>
          <w:left w:val="nil"/>
          <w:bottom w:val="single" w:sz="4" w:space="1" w:color="auto"/>
          <w:right w:val="nil"/>
          <w:between w:val="nil"/>
          <w:bar w:val="nil"/>
        </w:pBdr>
        <w:spacing w:before="120" w:after="240" w:line="360" w:lineRule="auto"/>
        <w:jc w:val="both"/>
        <w:rPr>
          <w:rFonts w:ascii="Times New Roman" w:hAnsi="Times New Roman" w:cs="Times New Roman"/>
          <w:sz w:val="24"/>
          <w:szCs w:val="24"/>
        </w:rPr>
      </w:pPr>
      <w:r w:rsidRPr="00F83AC3">
        <w:rPr>
          <w:rFonts w:ascii="Times New Roman" w:hAnsi="Times New Roman" w:cs="Times New Roman"/>
          <w:sz w:val="24"/>
          <w:szCs w:val="24"/>
        </w:rPr>
        <w:t>Naopak v Česku se potvrdil signifikantní vliv většiny zkoumaných faktorů. Rostoucí ceny nemovitostí jsou taženy přirozeným růstem populace, na něj pak navazujícím růstem HDP a růstem průměrnýc</w:t>
      </w:r>
      <w:r w:rsidR="004B32F3">
        <w:rPr>
          <w:rFonts w:ascii="Times New Roman" w:hAnsi="Times New Roman" w:cs="Times New Roman"/>
          <w:sz w:val="24"/>
          <w:szCs w:val="24"/>
        </w:rPr>
        <w:t xml:space="preserve">h mezd. </w:t>
      </w:r>
      <w:r w:rsidR="0095102C">
        <w:rPr>
          <w:rFonts w:ascii="Times New Roman" w:hAnsi="Times New Roman" w:cs="Times New Roman"/>
          <w:sz w:val="24"/>
          <w:szCs w:val="24"/>
        </w:rPr>
        <w:t>To je do jisté míry pozitivní skutečnost neboť lze očekávat, že s poklesem růstu poptávkových faktorů může ruku v ruce docházet k poklesu cen realit. Ukazuje se ovšem</w:t>
      </w:r>
      <w:r w:rsidR="00647C55">
        <w:rPr>
          <w:rFonts w:ascii="Times New Roman" w:hAnsi="Times New Roman" w:cs="Times New Roman"/>
          <w:sz w:val="24"/>
          <w:szCs w:val="24"/>
        </w:rPr>
        <w:t xml:space="preserve"> také</w:t>
      </w:r>
      <w:r w:rsidR="0095102C">
        <w:rPr>
          <w:rFonts w:ascii="Times New Roman" w:hAnsi="Times New Roman" w:cs="Times New Roman"/>
          <w:sz w:val="24"/>
          <w:szCs w:val="24"/>
        </w:rPr>
        <w:t>, že růst cen je</w:t>
      </w:r>
      <w:r w:rsidR="004B32F3">
        <w:rPr>
          <w:rFonts w:ascii="Times New Roman" w:hAnsi="Times New Roman" w:cs="Times New Roman"/>
          <w:sz w:val="24"/>
          <w:szCs w:val="24"/>
        </w:rPr>
        <w:t xml:space="preserve"> </w:t>
      </w:r>
      <w:r w:rsidRPr="00F83AC3">
        <w:rPr>
          <w:rFonts w:ascii="Times New Roman" w:hAnsi="Times New Roman" w:cs="Times New Roman"/>
          <w:sz w:val="24"/>
          <w:szCs w:val="24"/>
        </w:rPr>
        <w:t>v</w:t>
      </w:r>
      <w:r w:rsidR="0095102C">
        <w:rPr>
          <w:rFonts w:ascii="Times New Roman" w:hAnsi="Times New Roman" w:cs="Times New Roman"/>
          <w:sz w:val="24"/>
          <w:szCs w:val="24"/>
        </w:rPr>
        <w:t>e vysoké</w:t>
      </w:r>
      <w:r w:rsidRPr="00F83AC3">
        <w:rPr>
          <w:rFonts w:ascii="Times New Roman" w:hAnsi="Times New Roman" w:cs="Times New Roman"/>
          <w:sz w:val="24"/>
          <w:szCs w:val="24"/>
        </w:rPr>
        <w:t xml:space="preserve"> míře táhnut </w:t>
      </w:r>
      <w:r w:rsidR="00647C55">
        <w:rPr>
          <w:rFonts w:ascii="Times New Roman" w:hAnsi="Times New Roman" w:cs="Times New Roman"/>
          <w:sz w:val="24"/>
          <w:szCs w:val="24"/>
        </w:rPr>
        <w:t>též</w:t>
      </w:r>
      <w:r w:rsidR="0095102C">
        <w:rPr>
          <w:rFonts w:ascii="Times New Roman" w:hAnsi="Times New Roman" w:cs="Times New Roman"/>
          <w:sz w:val="24"/>
          <w:szCs w:val="24"/>
        </w:rPr>
        <w:t xml:space="preserve"> </w:t>
      </w:r>
      <w:r w:rsidRPr="00F83AC3">
        <w:rPr>
          <w:rFonts w:ascii="Times New Roman" w:hAnsi="Times New Roman" w:cs="Times New Roman"/>
          <w:sz w:val="24"/>
          <w:szCs w:val="24"/>
        </w:rPr>
        <w:t>nedosta</w:t>
      </w:r>
      <w:r w:rsidR="00647C55">
        <w:rPr>
          <w:rFonts w:ascii="Times New Roman" w:hAnsi="Times New Roman" w:cs="Times New Roman"/>
          <w:sz w:val="24"/>
          <w:szCs w:val="24"/>
        </w:rPr>
        <w:t>tečnou bytovou výstavbou. Její aktuální úroveň je</w:t>
      </w:r>
      <w:r w:rsidR="004B32F3">
        <w:rPr>
          <w:rFonts w:ascii="Times New Roman" w:hAnsi="Times New Roman" w:cs="Times New Roman"/>
          <w:sz w:val="24"/>
          <w:szCs w:val="24"/>
        </w:rPr>
        <w:t xml:space="preserve"> řádově nižší než u zbylých porovnávaných zemí. </w:t>
      </w:r>
      <w:r w:rsidR="0095102C">
        <w:rPr>
          <w:rFonts w:ascii="Times New Roman" w:hAnsi="Times New Roman" w:cs="Times New Roman"/>
          <w:sz w:val="24"/>
          <w:szCs w:val="24"/>
        </w:rPr>
        <w:t>Pokud se v Česku nedokáže tato disproporce vyřešit, jednoduchá rovnice mezi poklesem</w:t>
      </w:r>
      <w:r w:rsidR="00465607">
        <w:rPr>
          <w:rFonts w:ascii="Times New Roman" w:hAnsi="Times New Roman" w:cs="Times New Roman"/>
          <w:sz w:val="24"/>
          <w:szCs w:val="24"/>
        </w:rPr>
        <w:t xml:space="preserve"> dynamiky poptávkových faktorů a poklesem cen nemovitostí může být narušena.</w:t>
      </w:r>
      <w:r w:rsidR="0095102C">
        <w:rPr>
          <w:rFonts w:ascii="Times New Roman" w:hAnsi="Times New Roman" w:cs="Times New Roman"/>
          <w:sz w:val="24"/>
          <w:szCs w:val="24"/>
        </w:rPr>
        <w:t xml:space="preserve"> </w:t>
      </w:r>
      <w:r w:rsidRPr="00F83AC3">
        <w:rPr>
          <w:rFonts w:ascii="Times New Roman" w:hAnsi="Times New Roman" w:cs="Times New Roman"/>
          <w:sz w:val="24"/>
          <w:szCs w:val="24"/>
        </w:rPr>
        <w:t xml:space="preserve"> </w:t>
      </w:r>
    </w:p>
    <w:p w:rsidR="00847795" w:rsidRDefault="00F83AC3" w:rsidP="00432C38">
      <w:pPr>
        <w:pBdr>
          <w:top w:val="nil"/>
          <w:left w:val="nil"/>
          <w:bottom w:val="single" w:sz="4" w:space="1" w:color="auto"/>
          <w:right w:val="nil"/>
          <w:between w:val="nil"/>
          <w:bar w:val="nil"/>
        </w:pBdr>
        <w:spacing w:before="120" w:after="240" w:line="360" w:lineRule="auto"/>
        <w:jc w:val="both"/>
        <w:rPr>
          <w:rFonts w:ascii="Times New Roman" w:hAnsi="Times New Roman" w:cs="Times New Roman"/>
          <w:sz w:val="24"/>
          <w:szCs w:val="24"/>
        </w:rPr>
      </w:pPr>
      <w:r w:rsidRPr="00F83AC3">
        <w:rPr>
          <w:rFonts w:ascii="Times New Roman" w:hAnsi="Times New Roman" w:cs="Times New Roman"/>
          <w:sz w:val="24"/>
          <w:szCs w:val="24"/>
        </w:rPr>
        <w:t xml:space="preserve">Polsko zaznamenalo nejnižší růst cen nemovitostí ve sledovaném období let 2000 až 2021. Je to dáno též poměrně stabilní </w:t>
      </w:r>
      <w:r>
        <w:rPr>
          <w:rFonts w:ascii="Times New Roman" w:hAnsi="Times New Roman" w:cs="Times New Roman"/>
          <w:sz w:val="24"/>
          <w:szCs w:val="24"/>
        </w:rPr>
        <w:t>situací a reakcemi trhu. U všech</w:t>
      </w:r>
      <w:r w:rsidRPr="00F83AC3">
        <w:rPr>
          <w:rFonts w:ascii="Times New Roman" w:hAnsi="Times New Roman" w:cs="Times New Roman"/>
          <w:sz w:val="24"/>
          <w:szCs w:val="24"/>
        </w:rPr>
        <w:t xml:space="preserve"> </w:t>
      </w:r>
      <w:r>
        <w:rPr>
          <w:rFonts w:ascii="Times New Roman" w:hAnsi="Times New Roman" w:cs="Times New Roman"/>
          <w:sz w:val="24"/>
          <w:szCs w:val="24"/>
        </w:rPr>
        <w:t>poptávkových faktorů (determinantů)</w:t>
      </w:r>
      <w:r w:rsidRPr="00F83AC3">
        <w:rPr>
          <w:rFonts w:ascii="Times New Roman" w:hAnsi="Times New Roman" w:cs="Times New Roman"/>
          <w:sz w:val="24"/>
          <w:szCs w:val="24"/>
        </w:rPr>
        <w:t xml:space="preserve"> totiž</w:t>
      </w:r>
      <w:r>
        <w:rPr>
          <w:rFonts w:ascii="Times New Roman" w:hAnsi="Times New Roman" w:cs="Times New Roman"/>
          <w:sz w:val="24"/>
          <w:szCs w:val="24"/>
        </w:rPr>
        <w:t xml:space="preserve"> figurovalo</w:t>
      </w:r>
      <w:r w:rsidRPr="00F83AC3">
        <w:rPr>
          <w:rFonts w:ascii="Times New Roman" w:hAnsi="Times New Roman" w:cs="Times New Roman"/>
          <w:sz w:val="24"/>
          <w:szCs w:val="24"/>
        </w:rPr>
        <w:t xml:space="preserve"> na třetím, tedy předposledním místě, a u jediného nabídkového faktoru</w:t>
      </w:r>
      <w:r w:rsidR="00847795">
        <w:rPr>
          <w:rFonts w:ascii="Times New Roman" w:hAnsi="Times New Roman" w:cs="Times New Roman"/>
          <w:sz w:val="24"/>
          <w:szCs w:val="24"/>
        </w:rPr>
        <w:t xml:space="preserve">, který </w:t>
      </w:r>
      <w:proofErr w:type="spellStart"/>
      <w:r w:rsidR="00847795">
        <w:rPr>
          <w:rFonts w:ascii="Times New Roman" w:hAnsi="Times New Roman" w:cs="Times New Roman"/>
          <w:sz w:val="24"/>
          <w:szCs w:val="24"/>
        </w:rPr>
        <w:t>nepřímoúměrně</w:t>
      </w:r>
      <w:proofErr w:type="spellEnd"/>
      <w:r w:rsidR="00847795">
        <w:rPr>
          <w:rFonts w:ascii="Times New Roman" w:hAnsi="Times New Roman" w:cs="Times New Roman"/>
          <w:sz w:val="24"/>
          <w:szCs w:val="24"/>
        </w:rPr>
        <w:t xml:space="preserve"> ovlivňuje cenu nemovitostí na trhu,</w:t>
      </w:r>
      <w:r w:rsidRPr="00F83AC3">
        <w:rPr>
          <w:rFonts w:ascii="Times New Roman" w:hAnsi="Times New Roman" w:cs="Times New Roman"/>
          <w:sz w:val="24"/>
          <w:szCs w:val="24"/>
        </w:rPr>
        <w:t xml:space="preserve"> naopak jasně dominovalo. Právě vysoký podíl nové výstavby stojí</w:t>
      </w:r>
      <w:r w:rsidR="00847795">
        <w:rPr>
          <w:rFonts w:ascii="Times New Roman" w:hAnsi="Times New Roman" w:cs="Times New Roman"/>
          <w:sz w:val="24"/>
          <w:szCs w:val="24"/>
        </w:rPr>
        <w:t xml:space="preserve"> především</w:t>
      </w:r>
      <w:r w:rsidRPr="00F83AC3">
        <w:rPr>
          <w:rFonts w:ascii="Times New Roman" w:hAnsi="Times New Roman" w:cs="Times New Roman"/>
          <w:sz w:val="24"/>
          <w:szCs w:val="24"/>
        </w:rPr>
        <w:t xml:space="preserve"> za nižším cenovým růstem nemovitostí v</w:t>
      </w:r>
      <w:r>
        <w:rPr>
          <w:rFonts w:ascii="Times New Roman" w:hAnsi="Times New Roman" w:cs="Times New Roman"/>
          <w:sz w:val="24"/>
          <w:szCs w:val="24"/>
        </w:rPr>
        <w:t> </w:t>
      </w:r>
      <w:r w:rsidRPr="00F83AC3">
        <w:rPr>
          <w:rFonts w:ascii="Times New Roman" w:hAnsi="Times New Roman" w:cs="Times New Roman"/>
          <w:sz w:val="24"/>
          <w:szCs w:val="24"/>
        </w:rPr>
        <w:t xml:space="preserve">Polsku. </w:t>
      </w:r>
    </w:p>
    <w:p w:rsidR="00847795" w:rsidRDefault="00847795" w:rsidP="00432C38">
      <w:pPr>
        <w:pBdr>
          <w:top w:val="nil"/>
          <w:left w:val="nil"/>
          <w:bottom w:val="single" w:sz="4" w:space="1" w:color="auto"/>
          <w:right w:val="nil"/>
          <w:between w:val="nil"/>
          <w:bar w:val="nil"/>
        </w:pBd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Slovensko skončilo ve všech srovnáních </w:t>
      </w:r>
      <w:r w:rsidR="00A65F74">
        <w:rPr>
          <w:rFonts w:ascii="Times New Roman" w:hAnsi="Times New Roman" w:cs="Times New Roman"/>
          <w:sz w:val="24"/>
          <w:szCs w:val="24"/>
        </w:rPr>
        <w:t>determinantů na druhém místě. Dá se tedy říci, že příčinou růstu rezidenčních nemovitostí byl růst všech poptávkových faktorů. Chování jeho realitního trhu tedy je předvídatelné. I přes druhá místa ve všech poptávkových faktorech</w:t>
      </w:r>
      <w:r w:rsidR="006F0850">
        <w:rPr>
          <w:rFonts w:ascii="Times New Roman" w:hAnsi="Times New Roman" w:cs="Times New Roman"/>
          <w:sz w:val="24"/>
          <w:szCs w:val="24"/>
        </w:rPr>
        <w:t xml:space="preserve"> se Slovensko umístilo až třetí v růstu cen nemovitostí. Důvodem byla jeho lepší pozice v ukazateli výstavby nových bytových jednotek. Zde Slovensko dosáhlo spolu s Polskem relativně velmi dobré úrovně.    </w:t>
      </w:r>
      <w:r w:rsidR="00A65F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F0850" w:rsidRDefault="006F0850" w:rsidP="006F0850">
      <w:pPr>
        <w:spacing w:before="120" w:after="240" w:line="360" w:lineRule="auto"/>
        <w:jc w:val="both"/>
        <w:rPr>
          <w:rFonts w:ascii="Times New Roman" w:hAnsi="Times New Roman" w:cs="Times New Roman"/>
          <w:sz w:val="24"/>
          <w:szCs w:val="24"/>
        </w:rPr>
      </w:pPr>
    </w:p>
    <w:p w:rsidR="006F0850" w:rsidRPr="006F0850" w:rsidRDefault="006F0850" w:rsidP="006F0850">
      <w:pPr>
        <w:spacing w:before="120" w:after="240" w:line="360" w:lineRule="auto"/>
        <w:jc w:val="both"/>
        <w:rPr>
          <w:rFonts w:ascii="Times New Roman" w:hAnsi="Times New Roman" w:cs="Times New Roman"/>
          <w:sz w:val="24"/>
          <w:szCs w:val="24"/>
        </w:rPr>
      </w:pPr>
    </w:p>
    <w:p w:rsidR="000C1988" w:rsidRPr="001153AA" w:rsidRDefault="000C1988" w:rsidP="006F0850">
      <w:pPr>
        <w:spacing w:before="120" w:after="240"/>
        <w:rPr>
          <w:rFonts w:ascii="Times New Roman" w:eastAsia="Arial Unicode MS" w:hAnsi="Times New Roman" w:cs="Times New Roman"/>
          <w:b/>
          <w:sz w:val="24"/>
          <w:szCs w:val="24"/>
          <w:bdr w:val="nil"/>
          <w:shd w:val="clear" w:color="auto" w:fill="FFFFFF"/>
          <w:lang w:val="en-GB"/>
        </w:rPr>
      </w:pPr>
      <w:r w:rsidRPr="001153AA">
        <w:rPr>
          <w:rFonts w:ascii="Times New Roman" w:hAnsi="Times New Roman" w:cs="Times New Roman"/>
          <w:b/>
          <w:sz w:val="24"/>
          <w:szCs w:val="24"/>
        </w:rPr>
        <w:lastRenderedPageBreak/>
        <w:t>Seznam použit</w:t>
      </w:r>
      <w:bookmarkEnd w:id="1"/>
      <w:r w:rsidR="00996CB4">
        <w:rPr>
          <w:rFonts w:ascii="Times New Roman" w:hAnsi="Times New Roman" w:cs="Times New Roman"/>
          <w:b/>
          <w:sz w:val="24"/>
          <w:szCs w:val="24"/>
        </w:rPr>
        <w:t>é literatury</w:t>
      </w:r>
    </w:p>
    <w:p w:rsidR="000C1988" w:rsidRPr="000C1988" w:rsidRDefault="000C1988" w:rsidP="006F0850">
      <w:pPr>
        <w:spacing w:before="120" w:after="240"/>
        <w:rPr>
          <w:rFonts w:ascii="Times New Roman" w:eastAsia="Arial Unicode MS" w:hAnsi="Times New Roman" w:cs="Times New Roman"/>
          <w:sz w:val="24"/>
          <w:szCs w:val="24"/>
          <w:bdr w:val="nil"/>
          <w:lang w:val="en-GB"/>
        </w:rPr>
      </w:pPr>
      <w:proofErr w:type="spellStart"/>
      <w:proofErr w:type="gramStart"/>
      <w:r w:rsidRPr="000C1988">
        <w:rPr>
          <w:rFonts w:ascii="Times New Roman" w:eastAsia="Arial Unicode MS" w:hAnsi="Times New Roman" w:cs="Times New Roman"/>
          <w:sz w:val="24"/>
          <w:szCs w:val="24"/>
          <w:bdr w:val="nil"/>
          <w:lang w:val="en-GB"/>
        </w:rPr>
        <w:t>Barot</w:t>
      </w:r>
      <w:proofErr w:type="spellEnd"/>
      <w:r w:rsidRPr="000C1988">
        <w:rPr>
          <w:rFonts w:ascii="Times New Roman" w:eastAsia="Arial Unicode MS" w:hAnsi="Times New Roman" w:cs="Times New Roman"/>
          <w:sz w:val="24"/>
          <w:szCs w:val="24"/>
          <w:bdr w:val="nil"/>
          <w:lang w:val="en-GB"/>
        </w:rPr>
        <w:t>, B., &amp; Yang, Z. (2002).</w:t>
      </w:r>
      <w:proofErr w:type="gramEnd"/>
      <w:r w:rsidRPr="000C1988">
        <w:rPr>
          <w:rFonts w:ascii="Times New Roman" w:eastAsia="Arial Unicode MS" w:hAnsi="Times New Roman" w:cs="Times New Roman"/>
          <w:sz w:val="24"/>
          <w:szCs w:val="24"/>
          <w:bdr w:val="nil"/>
          <w:lang w:val="en-GB"/>
        </w:rPr>
        <w:t xml:space="preserve"> House prices and housing investment in Sweden and the UK: Econometric analysis for the period 1970–1998. </w:t>
      </w:r>
      <w:r w:rsidRPr="000C1988">
        <w:rPr>
          <w:rFonts w:ascii="Times New Roman" w:eastAsia="Arial Unicode MS" w:hAnsi="Times New Roman" w:cs="Times New Roman"/>
          <w:i/>
          <w:iCs/>
          <w:sz w:val="24"/>
          <w:szCs w:val="24"/>
          <w:bdr w:val="nil"/>
          <w:lang w:val="en-GB"/>
        </w:rPr>
        <w:t>Review of Urban &amp; Regional Development Studies</w:t>
      </w:r>
      <w:r w:rsidRPr="000C1988">
        <w:rPr>
          <w:rFonts w:ascii="Times New Roman" w:eastAsia="Arial Unicode MS" w:hAnsi="Times New Roman" w:cs="Times New Roman"/>
          <w:sz w:val="24"/>
          <w:szCs w:val="24"/>
          <w:bdr w:val="nil"/>
          <w:lang w:val="en-GB"/>
        </w:rPr>
        <w:t>, </w:t>
      </w:r>
      <w:r w:rsidRPr="000C1988">
        <w:rPr>
          <w:rFonts w:ascii="Times New Roman" w:eastAsia="Arial Unicode MS" w:hAnsi="Times New Roman" w:cs="Times New Roman"/>
          <w:i/>
          <w:iCs/>
          <w:sz w:val="24"/>
          <w:szCs w:val="24"/>
          <w:bdr w:val="nil"/>
          <w:lang w:val="en-GB"/>
        </w:rPr>
        <w:t>14</w:t>
      </w:r>
      <w:r w:rsidRPr="000C1988">
        <w:rPr>
          <w:rFonts w:ascii="Times New Roman" w:eastAsia="Arial Unicode MS" w:hAnsi="Times New Roman" w:cs="Times New Roman"/>
          <w:sz w:val="24"/>
          <w:szCs w:val="24"/>
          <w:bdr w:val="nil"/>
          <w:lang w:val="en-GB"/>
        </w:rPr>
        <w:t>(2), 189-216.</w:t>
      </w:r>
    </w:p>
    <w:p w:rsidR="000C1988" w:rsidRPr="000C1988" w:rsidRDefault="001153AA" w:rsidP="006F0850">
      <w:pPr>
        <w:spacing w:before="120" w:after="240"/>
        <w:rPr>
          <w:rFonts w:ascii="Times New Roman" w:eastAsia="Arial Unicode MS" w:hAnsi="Times New Roman" w:cs="Times New Roman"/>
          <w:sz w:val="24"/>
          <w:szCs w:val="24"/>
          <w:bdr w:val="nil"/>
          <w:lang w:val="en-GB"/>
        </w:rPr>
      </w:pPr>
      <w:proofErr w:type="spellStart"/>
      <w:r>
        <w:rPr>
          <w:rFonts w:ascii="Times New Roman" w:eastAsia="Arial Unicode MS" w:hAnsi="Times New Roman" w:cs="Times New Roman"/>
          <w:sz w:val="24"/>
          <w:szCs w:val="24"/>
          <w:bdr w:val="nil"/>
          <w:lang w:val="en-GB"/>
        </w:rPr>
        <w:t>Golej</w:t>
      </w:r>
      <w:proofErr w:type="spellEnd"/>
      <w:r>
        <w:rPr>
          <w:rFonts w:ascii="Times New Roman" w:eastAsia="Arial Unicode MS" w:hAnsi="Times New Roman" w:cs="Times New Roman"/>
          <w:sz w:val="24"/>
          <w:szCs w:val="24"/>
          <w:bdr w:val="nil"/>
          <w:lang w:val="en-GB"/>
        </w:rPr>
        <w:t xml:space="preserve"> J., </w:t>
      </w:r>
      <w:proofErr w:type="spellStart"/>
      <w:r>
        <w:rPr>
          <w:rFonts w:ascii="Times New Roman" w:eastAsia="Arial Unicode MS" w:hAnsi="Times New Roman" w:cs="Times New Roman"/>
          <w:sz w:val="24"/>
          <w:szCs w:val="24"/>
          <w:bdr w:val="nil"/>
          <w:lang w:val="en-GB"/>
        </w:rPr>
        <w:t>Pánik</w:t>
      </w:r>
      <w:proofErr w:type="spellEnd"/>
      <w:r>
        <w:rPr>
          <w:rFonts w:ascii="Times New Roman" w:eastAsia="Arial Unicode MS" w:hAnsi="Times New Roman" w:cs="Times New Roman"/>
          <w:sz w:val="24"/>
          <w:szCs w:val="24"/>
          <w:bdr w:val="nil"/>
          <w:lang w:val="en-GB"/>
        </w:rPr>
        <w:t xml:space="preserve"> M.,</w:t>
      </w:r>
      <w:r w:rsidR="000C1988" w:rsidRPr="000C1988">
        <w:rPr>
          <w:rFonts w:ascii="Times New Roman" w:eastAsia="Arial Unicode MS" w:hAnsi="Times New Roman" w:cs="Times New Roman"/>
          <w:sz w:val="24"/>
          <w:szCs w:val="24"/>
          <w:bdr w:val="nil"/>
          <w:lang w:val="en-GB"/>
        </w:rPr>
        <w:t xml:space="preserve"> </w:t>
      </w:r>
      <w:proofErr w:type="spellStart"/>
      <w:r w:rsidR="000C1988" w:rsidRPr="000C1988">
        <w:rPr>
          <w:rFonts w:ascii="Times New Roman" w:eastAsia="Arial Unicode MS" w:hAnsi="Times New Roman" w:cs="Times New Roman"/>
          <w:sz w:val="24"/>
          <w:szCs w:val="24"/>
          <w:bdr w:val="nil"/>
          <w:lang w:val="en-GB"/>
        </w:rPr>
        <w:t>Špirková</w:t>
      </w:r>
      <w:proofErr w:type="spellEnd"/>
      <w:r w:rsidR="000C1988" w:rsidRPr="000C1988">
        <w:rPr>
          <w:rFonts w:ascii="Times New Roman" w:eastAsia="Arial Unicode MS" w:hAnsi="Times New Roman" w:cs="Times New Roman"/>
          <w:sz w:val="24"/>
          <w:szCs w:val="24"/>
          <w:bdr w:val="nil"/>
          <w:lang w:val="en-GB"/>
        </w:rPr>
        <w:t xml:space="preserve"> D. (2016). Post – Crisis development of residential Real estate prices and their </w:t>
      </w:r>
      <w:proofErr w:type="spellStart"/>
      <w:r w:rsidR="000C1988" w:rsidRPr="000C1988">
        <w:rPr>
          <w:rFonts w:ascii="Times New Roman" w:eastAsia="Arial Unicode MS" w:hAnsi="Times New Roman" w:cs="Times New Roman"/>
          <w:sz w:val="24"/>
          <w:szCs w:val="24"/>
          <w:bdr w:val="nil"/>
          <w:lang w:val="en-GB"/>
        </w:rPr>
        <w:t>determinats</w:t>
      </w:r>
      <w:proofErr w:type="spellEnd"/>
      <w:r w:rsidR="000C1988" w:rsidRPr="000C1988">
        <w:rPr>
          <w:rFonts w:ascii="Times New Roman" w:eastAsia="Arial Unicode MS" w:hAnsi="Times New Roman" w:cs="Times New Roman"/>
          <w:sz w:val="24"/>
          <w:szCs w:val="24"/>
          <w:bdr w:val="nil"/>
          <w:lang w:val="en-GB"/>
        </w:rPr>
        <w:t xml:space="preserve"> of influence in Slovakia. International Scientific </w:t>
      </w:r>
      <w:proofErr w:type="spellStart"/>
      <w:r w:rsidR="000C1988" w:rsidRPr="000C1988">
        <w:rPr>
          <w:rFonts w:ascii="Times New Roman" w:eastAsia="Arial Unicode MS" w:hAnsi="Times New Roman" w:cs="Times New Roman"/>
          <w:sz w:val="24"/>
          <w:szCs w:val="24"/>
          <w:bdr w:val="nil"/>
          <w:lang w:val="en-GB"/>
        </w:rPr>
        <w:t>GeoConference</w:t>
      </w:r>
      <w:proofErr w:type="spellEnd"/>
      <w:r w:rsidR="000C1988" w:rsidRPr="000C1988">
        <w:rPr>
          <w:rFonts w:ascii="Times New Roman" w:eastAsia="Arial Unicode MS" w:hAnsi="Times New Roman" w:cs="Times New Roman"/>
          <w:sz w:val="24"/>
          <w:szCs w:val="24"/>
          <w:bdr w:val="nil"/>
          <w:lang w:val="en-GB"/>
        </w:rPr>
        <w:t>: SGEM: Surveying Geology and mining Ecology management, 3, 441-451</w:t>
      </w:r>
    </w:p>
    <w:p w:rsidR="000C1988" w:rsidRPr="000C1988" w:rsidRDefault="000C1988" w:rsidP="006F0850">
      <w:pPr>
        <w:spacing w:before="120" w:after="240"/>
        <w:rPr>
          <w:rFonts w:ascii="Times New Roman" w:eastAsia="Arial Unicode MS" w:hAnsi="Times New Roman" w:cs="Times New Roman"/>
          <w:sz w:val="24"/>
          <w:szCs w:val="24"/>
          <w:bdr w:val="nil"/>
          <w:shd w:val="clear" w:color="auto" w:fill="FFFFFF"/>
          <w:lang w:val="en-GB"/>
        </w:rPr>
      </w:pPr>
      <w:proofErr w:type="spellStart"/>
      <w:r w:rsidRPr="000C1988">
        <w:rPr>
          <w:rFonts w:ascii="Times New Roman" w:eastAsia="Arial Unicode MS" w:hAnsi="Times New Roman" w:cs="Times New Roman"/>
          <w:sz w:val="24"/>
          <w:szCs w:val="24"/>
          <w:bdr w:val="nil"/>
          <w:shd w:val="clear" w:color="auto" w:fill="FFFFFF"/>
          <w:lang w:val="en-GB"/>
        </w:rPr>
        <w:t>Hlaváček</w:t>
      </w:r>
      <w:proofErr w:type="spellEnd"/>
      <w:r w:rsidRPr="000C1988">
        <w:rPr>
          <w:rFonts w:ascii="Times New Roman" w:eastAsia="Arial Unicode MS" w:hAnsi="Times New Roman" w:cs="Times New Roman"/>
          <w:sz w:val="24"/>
          <w:szCs w:val="24"/>
          <w:bdr w:val="nil"/>
          <w:shd w:val="clear" w:color="auto" w:fill="FFFFFF"/>
          <w:lang w:val="en-GB"/>
        </w:rPr>
        <w:t xml:space="preserve">, M., </w:t>
      </w:r>
      <w:proofErr w:type="spellStart"/>
      <w:r w:rsidRPr="000C1988">
        <w:rPr>
          <w:rFonts w:ascii="Times New Roman" w:eastAsia="Arial Unicode MS" w:hAnsi="Times New Roman" w:cs="Times New Roman"/>
          <w:sz w:val="24"/>
          <w:szCs w:val="24"/>
          <w:bdr w:val="nil"/>
          <w:shd w:val="clear" w:color="auto" w:fill="FFFFFF"/>
          <w:lang w:val="en-GB"/>
        </w:rPr>
        <w:t>Komárek</w:t>
      </w:r>
      <w:proofErr w:type="spellEnd"/>
      <w:r w:rsidRPr="000C1988">
        <w:rPr>
          <w:rFonts w:ascii="Times New Roman" w:eastAsia="Arial Unicode MS" w:hAnsi="Times New Roman" w:cs="Times New Roman"/>
          <w:sz w:val="24"/>
          <w:szCs w:val="24"/>
          <w:bdr w:val="nil"/>
          <w:shd w:val="clear" w:color="auto" w:fill="FFFFFF"/>
          <w:lang w:val="en-GB"/>
        </w:rPr>
        <w:t xml:space="preserve">, L. (2009): Housing Price Bubbles and their </w:t>
      </w:r>
      <w:proofErr w:type="spellStart"/>
      <w:r w:rsidRPr="000C1988">
        <w:rPr>
          <w:rFonts w:ascii="Times New Roman" w:eastAsia="Arial Unicode MS" w:hAnsi="Times New Roman" w:cs="Times New Roman"/>
          <w:sz w:val="24"/>
          <w:szCs w:val="24"/>
          <w:bdr w:val="nil"/>
          <w:shd w:val="clear" w:color="auto" w:fill="FFFFFF"/>
          <w:lang w:val="en-GB"/>
        </w:rPr>
        <w:t>Detrminands</w:t>
      </w:r>
      <w:proofErr w:type="spellEnd"/>
      <w:r w:rsidRPr="000C1988">
        <w:rPr>
          <w:rFonts w:ascii="Times New Roman" w:eastAsia="Arial Unicode MS" w:hAnsi="Times New Roman" w:cs="Times New Roman"/>
          <w:sz w:val="24"/>
          <w:szCs w:val="24"/>
          <w:bdr w:val="nil"/>
          <w:shd w:val="clear" w:color="auto" w:fill="FFFFFF"/>
          <w:lang w:val="en-GB"/>
        </w:rPr>
        <w:t xml:space="preserve"> in the Czech Republic and its Regions. </w:t>
      </w:r>
      <w:proofErr w:type="gramStart"/>
      <w:r w:rsidRPr="000C1988">
        <w:rPr>
          <w:rFonts w:ascii="Times New Roman" w:eastAsia="Arial Unicode MS" w:hAnsi="Times New Roman" w:cs="Times New Roman"/>
          <w:sz w:val="24"/>
          <w:szCs w:val="24"/>
          <w:bdr w:val="nil"/>
          <w:shd w:val="clear" w:color="auto" w:fill="FFFFFF"/>
          <w:lang w:val="en-GB"/>
        </w:rPr>
        <w:t>Working Paper Series 12.</w:t>
      </w:r>
      <w:proofErr w:type="gramEnd"/>
      <w:r w:rsidRPr="000C1988">
        <w:rPr>
          <w:rFonts w:ascii="Times New Roman" w:eastAsia="Arial Unicode MS" w:hAnsi="Times New Roman" w:cs="Times New Roman"/>
          <w:sz w:val="24"/>
          <w:szCs w:val="24"/>
          <w:bdr w:val="nil"/>
          <w:shd w:val="clear" w:color="auto" w:fill="FFFFFF"/>
          <w:lang w:val="en-GB"/>
        </w:rPr>
        <w:t xml:space="preserve"> </w:t>
      </w:r>
      <w:proofErr w:type="gramStart"/>
      <w:r w:rsidRPr="000C1988">
        <w:rPr>
          <w:rFonts w:ascii="Times New Roman" w:eastAsia="Arial Unicode MS" w:hAnsi="Times New Roman" w:cs="Times New Roman"/>
          <w:sz w:val="24"/>
          <w:szCs w:val="24"/>
          <w:bdr w:val="nil"/>
          <w:shd w:val="clear" w:color="auto" w:fill="FFFFFF"/>
          <w:lang w:val="en-GB"/>
        </w:rPr>
        <w:t>ČNB.</w:t>
      </w:r>
      <w:proofErr w:type="gramEnd"/>
      <w:r w:rsidRPr="000C1988">
        <w:rPr>
          <w:rFonts w:ascii="Times New Roman" w:eastAsia="Arial Unicode MS" w:hAnsi="Times New Roman" w:cs="Times New Roman"/>
          <w:sz w:val="24"/>
          <w:szCs w:val="24"/>
          <w:bdr w:val="nil"/>
          <w:shd w:val="clear" w:color="auto" w:fill="FFFFFF"/>
          <w:lang w:val="en-GB"/>
        </w:rPr>
        <w:t xml:space="preserve"> </w:t>
      </w:r>
      <w:proofErr w:type="spellStart"/>
      <w:r w:rsidRPr="000C1988">
        <w:rPr>
          <w:rFonts w:ascii="Times New Roman" w:eastAsia="Arial Unicode MS" w:hAnsi="Times New Roman" w:cs="Times New Roman"/>
          <w:sz w:val="24"/>
          <w:szCs w:val="24"/>
          <w:bdr w:val="nil"/>
          <w:shd w:val="clear" w:color="auto" w:fill="FFFFFF"/>
          <w:lang w:val="en-GB"/>
        </w:rPr>
        <w:t>Praha</w:t>
      </w:r>
      <w:proofErr w:type="spellEnd"/>
      <w:r w:rsidRPr="000C1988">
        <w:rPr>
          <w:rFonts w:ascii="Times New Roman" w:eastAsia="Arial Unicode MS" w:hAnsi="Times New Roman" w:cs="Times New Roman"/>
          <w:sz w:val="24"/>
          <w:szCs w:val="24"/>
          <w:bdr w:val="nil"/>
          <w:shd w:val="clear" w:color="auto" w:fill="FFFFFF"/>
          <w:lang w:val="en-GB"/>
        </w:rPr>
        <w:t>: 2009</w:t>
      </w:r>
    </w:p>
    <w:p w:rsidR="000C1988" w:rsidRPr="000C1988" w:rsidRDefault="000C1988" w:rsidP="006F0850">
      <w:pPr>
        <w:spacing w:before="120" w:after="240"/>
        <w:rPr>
          <w:rFonts w:ascii="Times New Roman" w:eastAsia="Arial Unicode MS" w:hAnsi="Times New Roman" w:cs="Times New Roman"/>
          <w:sz w:val="24"/>
          <w:szCs w:val="24"/>
          <w:bdr w:val="nil"/>
          <w:shd w:val="clear" w:color="auto" w:fill="FFFFFF"/>
          <w:lang w:val="en-GB"/>
        </w:rPr>
      </w:pPr>
      <w:proofErr w:type="spellStart"/>
      <w:proofErr w:type="gramStart"/>
      <w:r w:rsidRPr="000C1988">
        <w:rPr>
          <w:rFonts w:ascii="Times New Roman" w:eastAsia="Arial Unicode MS" w:hAnsi="Times New Roman" w:cs="Times New Roman"/>
          <w:sz w:val="24"/>
          <w:szCs w:val="24"/>
          <w:bdr w:val="nil"/>
          <w:shd w:val="clear" w:color="auto" w:fill="FFFFFF"/>
          <w:lang w:val="en-GB"/>
        </w:rPr>
        <w:t>Hlaváček</w:t>
      </w:r>
      <w:proofErr w:type="spellEnd"/>
      <w:r w:rsidRPr="000C1988">
        <w:rPr>
          <w:rFonts w:ascii="Times New Roman" w:eastAsia="Arial Unicode MS" w:hAnsi="Times New Roman" w:cs="Times New Roman"/>
          <w:sz w:val="24"/>
          <w:szCs w:val="24"/>
          <w:bdr w:val="nil"/>
          <w:shd w:val="clear" w:color="auto" w:fill="FFFFFF"/>
          <w:lang w:val="en-GB"/>
        </w:rPr>
        <w:t xml:space="preserve">, M., </w:t>
      </w:r>
      <w:proofErr w:type="spellStart"/>
      <w:r w:rsidRPr="000C1988">
        <w:rPr>
          <w:rFonts w:ascii="Times New Roman" w:eastAsia="Arial Unicode MS" w:hAnsi="Times New Roman" w:cs="Times New Roman"/>
          <w:sz w:val="24"/>
          <w:szCs w:val="24"/>
          <w:bdr w:val="nil"/>
          <w:shd w:val="clear" w:color="auto" w:fill="FFFFFF"/>
          <w:lang w:val="en-GB"/>
        </w:rPr>
        <w:t>Komárek</w:t>
      </w:r>
      <w:proofErr w:type="spellEnd"/>
      <w:r w:rsidRPr="000C1988">
        <w:rPr>
          <w:rFonts w:ascii="Times New Roman" w:eastAsia="Arial Unicode MS" w:hAnsi="Times New Roman" w:cs="Times New Roman"/>
          <w:sz w:val="24"/>
          <w:szCs w:val="24"/>
          <w:bdr w:val="nil"/>
          <w:shd w:val="clear" w:color="auto" w:fill="FFFFFF"/>
          <w:lang w:val="en-GB"/>
        </w:rPr>
        <w:t>, L. (2010).</w:t>
      </w:r>
      <w:proofErr w:type="gramEnd"/>
      <w:r w:rsidRPr="000C1988">
        <w:rPr>
          <w:rFonts w:ascii="Times New Roman" w:eastAsia="Arial Unicode MS" w:hAnsi="Times New Roman" w:cs="Times New Roman"/>
          <w:sz w:val="24"/>
          <w:szCs w:val="24"/>
          <w:bdr w:val="nil"/>
          <w:shd w:val="clear" w:color="auto" w:fill="FFFFFF"/>
          <w:lang w:val="en-GB"/>
        </w:rPr>
        <w:t xml:space="preserve"> </w:t>
      </w:r>
      <w:proofErr w:type="spellStart"/>
      <w:proofErr w:type="gramStart"/>
      <w:r w:rsidRPr="000C1988">
        <w:rPr>
          <w:rFonts w:ascii="Times New Roman" w:eastAsia="Arial Unicode MS" w:hAnsi="Times New Roman" w:cs="Times New Roman"/>
          <w:sz w:val="24"/>
          <w:szCs w:val="24"/>
          <w:bdr w:val="nil"/>
          <w:shd w:val="clear" w:color="auto" w:fill="FFFFFF"/>
          <w:lang w:val="en-GB"/>
        </w:rPr>
        <w:t>Rovnovážnost</w:t>
      </w:r>
      <w:proofErr w:type="spellEnd"/>
      <w:r w:rsidRPr="000C1988">
        <w:rPr>
          <w:rFonts w:ascii="Times New Roman" w:eastAsia="Arial Unicode MS" w:hAnsi="Times New Roman" w:cs="Times New Roman"/>
          <w:sz w:val="24"/>
          <w:szCs w:val="24"/>
          <w:bdr w:val="nil"/>
          <w:shd w:val="clear" w:color="auto" w:fill="FFFFFF"/>
          <w:lang w:val="en-GB"/>
        </w:rPr>
        <w:t xml:space="preserve"> </w:t>
      </w:r>
      <w:proofErr w:type="spellStart"/>
      <w:r w:rsidRPr="000C1988">
        <w:rPr>
          <w:rFonts w:ascii="Times New Roman" w:eastAsia="Arial Unicode MS" w:hAnsi="Times New Roman" w:cs="Times New Roman"/>
          <w:sz w:val="24"/>
          <w:szCs w:val="24"/>
          <w:bdr w:val="nil"/>
          <w:shd w:val="clear" w:color="auto" w:fill="FFFFFF"/>
          <w:lang w:val="en-GB"/>
        </w:rPr>
        <w:t>cen</w:t>
      </w:r>
      <w:proofErr w:type="spellEnd"/>
      <w:r w:rsidRPr="000C1988">
        <w:rPr>
          <w:rFonts w:ascii="Times New Roman" w:eastAsia="Arial Unicode MS" w:hAnsi="Times New Roman" w:cs="Times New Roman"/>
          <w:sz w:val="24"/>
          <w:szCs w:val="24"/>
          <w:bdr w:val="nil"/>
          <w:shd w:val="clear" w:color="auto" w:fill="FFFFFF"/>
          <w:lang w:val="en-GB"/>
        </w:rPr>
        <w:t xml:space="preserve"> </w:t>
      </w:r>
      <w:proofErr w:type="spellStart"/>
      <w:r w:rsidRPr="000C1988">
        <w:rPr>
          <w:rFonts w:ascii="Times New Roman" w:eastAsia="Arial Unicode MS" w:hAnsi="Times New Roman" w:cs="Times New Roman"/>
          <w:sz w:val="24"/>
          <w:szCs w:val="24"/>
          <w:bdr w:val="nil"/>
          <w:shd w:val="clear" w:color="auto" w:fill="FFFFFF"/>
          <w:lang w:val="en-GB"/>
        </w:rPr>
        <w:t>nemovitostí</w:t>
      </w:r>
      <w:proofErr w:type="spellEnd"/>
      <w:r w:rsidRPr="000C1988">
        <w:rPr>
          <w:rFonts w:ascii="Times New Roman" w:eastAsia="Arial Unicode MS" w:hAnsi="Times New Roman" w:cs="Times New Roman"/>
          <w:sz w:val="24"/>
          <w:szCs w:val="24"/>
          <w:bdr w:val="nil"/>
          <w:shd w:val="clear" w:color="auto" w:fill="FFFFFF"/>
          <w:lang w:val="en-GB"/>
        </w:rPr>
        <w:t xml:space="preserve"> v </w:t>
      </w:r>
      <w:proofErr w:type="spellStart"/>
      <w:r w:rsidRPr="000C1988">
        <w:rPr>
          <w:rFonts w:ascii="Times New Roman" w:eastAsia="Arial Unicode MS" w:hAnsi="Times New Roman" w:cs="Times New Roman"/>
          <w:sz w:val="24"/>
          <w:szCs w:val="24"/>
          <w:bdr w:val="nil"/>
          <w:shd w:val="clear" w:color="auto" w:fill="FFFFFF"/>
          <w:lang w:val="en-GB"/>
        </w:rPr>
        <w:t>České</w:t>
      </w:r>
      <w:proofErr w:type="spellEnd"/>
      <w:r w:rsidRPr="000C1988">
        <w:rPr>
          <w:rFonts w:ascii="Times New Roman" w:eastAsia="Arial Unicode MS" w:hAnsi="Times New Roman" w:cs="Times New Roman"/>
          <w:sz w:val="24"/>
          <w:szCs w:val="24"/>
          <w:bdr w:val="nil"/>
          <w:shd w:val="clear" w:color="auto" w:fill="FFFFFF"/>
          <w:lang w:val="en-GB"/>
        </w:rPr>
        <w:t xml:space="preserve"> </w:t>
      </w:r>
      <w:proofErr w:type="spellStart"/>
      <w:r w:rsidRPr="000C1988">
        <w:rPr>
          <w:rFonts w:ascii="Times New Roman" w:eastAsia="Arial Unicode MS" w:hAnsi="Times New Roman" w:cs="Times New Roman"/>
          <w:sz w:val="24"/>
          <w:szCs w:val="24"/>
          <w:bdr w:val="nil"/>
          <w:shd w:val="clear" w:color="auto" w:fill="FFFFFF"/>
          <w:lang w:val="en-GB"/>
        </w:rPr>
        <w:t>republice</w:t>
      </w:r>
      <w:proofErr w:type="spellEnd"/>
      <w:r w:rsidRPr="000C1988">
        <w:rPr>
          <w:rFonts w:ascii="Times New Roman" w:eastAsia="Arial Unicode MS" w:hAnsi="Times New Roman" w:cs="Times New Roman"/>
          <w:sz w:val="24"/>
          <w:szCs w:val="24"/>
          <w:bdr w:val="nil"/>
          <w:shd w:val="clear" w:color="auto" w:fill="FFFFFF"/>
          <w:lang w:val="en-GB"/>
        </w:rPr>
        <w:t>.</w:t>
      </w:r>
      <w:proofErr w:type="gramEnd"/>
      <w:r w:rsidRPr="000C1988">
        <w:rPr>
          <w:rFonts w:ascii="Times New Roman" w:eastAsia="Arial Unicode MS" w:hAnsi="Times New Roman" w:cs="Times New Roman"/>
          <w:sz w:val="24"/>
          <w:szCs w:val="24"/>
          <w:bdr w:val="nil"/>
          <w:shd w:val="clear" w:color="auto" w:fill="FFFFFF"/>
          <w:lang w:val="en-GB"/>
        </w:rPr>
        <w:t> </w:t>
      </w:r>
      <w:proofErr w:type="spellStart"/>
      <w:r w:rsidRPr="000C1988">
        <w:rPr>
          <w:rFonts w:ascii="Times New Roman" w:eastAsia="Arial Unicode MS" w:hAnsi="Times New Roman" w:cs="Times New Roman"/>
          <w:iCs/>
          <w:sz w:val="24"/>
          <w:szCs w:val="24"/>
          <w:bdr w:val="nil"/>
          <w:shd w:val="clear" w:color="auto" w:fill="FFFFFF"/>
          <w:lang w:val="en-GB"/>
        </w:rPr>
        <w:t>Politická</w:t>
      </w:r>
      <w:proofErr w:type="spellEnd"/>
      <w:r w:rsidRPr="000C1988">
        <w:rPr>
          <w:rFonts w:ascii="Times New Roman" w:eastAsia="Arial Unicode MS" w:hAnsi="Times New Roman" w:cs="Times New Roman"/>
          <w:iCs/>
          <w:sz w:val="24"/>
          <w:szCs w:val="24"/>
          <w:bdr w:val="nil"/>
          <w:shd w:val="clear" w:color="auto" w:fill="FFFFFF"/>
          <w:lang w:val="en-GB"/>
        </w:rPr>
        <w:t xml:space="preserve"> </w:t>
      </w:r>
      <w:proofErr w:type="spellStart"/>
      <w:r w:rsidRPr="000C1988">
        <w:rPr>
          <w:rFonts w:ascii="Times New Roman" w:eastAsia="Arial Unicode MS" w:hAnsi="Times New Roman" w:cs="Times New Roman"/>
          <w:iCs/>
          <w:sz w:val="24"/>
          <w:szCs w:val="24"/>
          <w:bdr w:val="nil"/>
          <w:shd w:val="clear" w:color="auto" w:fill="FFFFFF"/>
          <w:lang w:val="en-GB"/>
        </w:rPr>
        <w:t>ekonomie</w:t>
      </w:r>
      <w:proofErr w:type="spellEnd"/>
      <w:r w:rsidRPr="000C1988">
        <w:rPr>
          <w:rFonts w:ascii="Times New Roman" w:eastAsia="Arial Unicode MS" w:hAnsi="Times New Roman" w:cs="Times New Roman"/>
          <w:sz w:val="24"/>
          <w:szCs w:val="24"/>
          <w:bdr w:val="nil"/>
          <w:shd w:val="clear" w:color="auto" w:fill="FFFFFF"/>
          <w:lang w:val="en-GB"/>
        </w:rPr>
        <w:t>, </w:t>
      </w:r>
      <w:r w:rsidRPr="000C1988">
        <w:rPr>
          <w:rFonts w:ascii="Times New Roman" w:eastAsia="Arial Unicode MS" w:hAnsi="Times New Roman" w:cs="Times New Roman"/>
          <w:iCs/>
          <w:sz w:val="24"/>
          <w:szCs w:val="24"/>
          <w:bdr w:val="nil"/>
          <w:shd w:val="clear" w:color="auto" w:fill="FFFFFF"/>
          <w:lang w:val="en-GB"/>
        </w:rPr>
        <w:t>58</w:t>
      </w:r>
      <w:r w:rsidRPr="000C1988">
        <w:rPr>
          <w:rFonts w:ascii="Times New Roman" w:eastAsia="Arial Unicode MS" w:hAnsi="Times New Roman" w:cs="Times New Roman"/>
          <w:sz w:val="24"/>
          <w:szCs w:val="24"/>
          <w:bdr w:val="nil"/>
          <w:shd w:val="clear" w:color="auto" w:fill="FFFFFF"/>
          <w:lang w:val="en-GB"/>
        </w:rPr>
        <w:t>(3), 326-342</w:t>
      </w:r>
    </w:p>
    <w:p w:rsidR="000C1988" w:rsidRPr="000C1988" w:rsidRDefault="000C1988" w:rsidP="006F0850">
      <w:pPr>
        <w:spacing w:before="120" w:after="240"/>
        <w:rPr>
          <w:rFonts w:ascii="Times New Roman" w:eastAsia="Arial Unicode MS" w:hAnsi="Times New Roman" w:cs="Times New Roman"/>
          <w:sz w:val="24"/>
          <w:szCs w:val="24"/>
          <w:bdr w:val="nil"/>
          <w:lang w:val="en-GB"/>
        </w:rPr>
      </w:pPr>
      <w:proofErr w:type="spellStart"/>
      <w:r w:rsidRPr="000C1988">
        <w:rPr>
          <w:rFonts w:ascii="Times New Roman" w:eastAsia="Arial Unicode MS" w:hAnsi="Times New Roman" w:cs="Times New Roman"/>
          <w:sz w:val="24"/>
          <w:szCs w:val="24"/>
          <w:bdr w:val="nil"/>
          <w:lang w:val="en-GB"/>
        </w:rPr>
        <w:t>Ivanická</w:t>
      </w:r>
      <w:proofErr w:type="spellEnd"/>
      <w:r w:rsidRPr="000C1988">
        <w:rPr>
          <w:rFonts w:ascii="Times New Roman" w:eastAsia="Arial Unicode MS" w:hAnsi="Times New Roman" w:cs="Times New Roman"/>
          <w:sz w:val="24"/>
          <w:szCs w:val="24"/>
          <w:bdr w:val="nil"/>
          <w:lang w:val="en-GB"/>
        </w:rPr>
        <w:t xml:space="preserve">, K. (2003). </w:t>
      </w:r>
      <w:proofErr w:type="spellStart"/>
      <w:r w:rsidRPr="000C1988">
        <w:rPr>
          <w:rFonts w:ascii="Times New Roman" w:eastAsia="Arial Unicode MS" w:hAnsi="Times New Roman" w:cs="Times New Roman"/>
          <w:sz w:val="24"/>
          <w:szCs w:val="24"/>
          <w:bdr w:val="nil"/>
          <w:lang w:val="en-GB"/>
        </w:rPr>
        <w:t>Cyklické</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změny</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hodnoty</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nemovitostí</w:t>
      </w:r>
      <w:proofErr w:type="spellEnd"/>
      <w:r w:rsidRPr="000C1988">
        <w:rPr>
          <w:rFonts w:ascii="Times New Roman" w:eastAsia="Arial Unicode MS" w:hAnsi="Times New Roman" w:cs="Times New Roman"/>
          <w:sz w:val="24"/>
          <w:szCs w:val="24"/>
          <w:bdr w:val="nil"/>
          <w:lang w:val="en-GB"/>
        </w:rPr>
        <w:t xml:space="preserve"> </w:t>
      </w:r>
      <w:proofErr w:type="spellStart"/>
      <w:proofErr w:type="gramStart"/>
      <w:r w:rsidRPr="000C1988">
        <w:rPr>
          <w:rFonts w:ascii="Times New Roman" w:eastAsia="Arial Unicode MS" w:hAnsi="Times New Roman" w:cs="Times New Roman"/>
          <w:sz w:val="24"/>
          <w:szCs w:val="24"/>
          <w:bdr w:val="nil"/>
          <w:lang w:val="en-GB"/>
        </w:rPr>
        <w:t>na</w:t>
      </w:r>
      <w:proofErr w:type="spellEnd"/>
      <w:proofErr w:type="gram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realitných</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trhoch</w:t>
      </w:r>
      <w:proofErr w:type="spellEnd"/>
      <w:r w:rsidRPr="000C1988">
        <w:rPr>
          <w:rFonts w:ascii="Times New Roman" w:eastAsia="Arial Unicode MS" w:hAnsi="Times New Roman" w:cs="Times New Roman"/>
          <w:sz w:val="24"/>
          <w:szCs w:val="24"/>
          <w:bdr w:val="nil"/>
          <w:lang w:val="en-GB"/>
        </w:rPr>
        <w:t xml:space="preserve">.  </w:t>
      </w:r>
      <w:proofErr w:type="gramStart"/>
      <w:r w:rsidRPr="000C1988">
        <w:rPr>
          <w:rFonts w:ascii="Times New Roman" w:eastAsia="Arial Unicode MS" w:hAnsi="Times New Roman" w:cs="Times New Roman"/>
          <w:sz w:val="24"/>
          <w:szCs w:val="24"/>
          <w:bdr w:val="nil"/>
          <w:lang w:val="en-GB"/>
        </w:rPr>
        <w:t xml:space="preserve">Investor, </w:t>
      </w:r>
      <w:proofErr w:type="spellStart"/>
      <w:r w:rsidRPr="000C1988">
        <w:rPr>
          <w:rFonts w:ascii="Times New Roman" w:eastAsia="Arial Unicode MS" w:hAnsi="Times New Roman" w:cs="Times New Roman"/>
          <w:sz w:val="24"/>
          <w:szCs w:val="24"/>
          <w:bdr w:val="nil"/>
          <w:lang w:val="en-GB"/>
        </w:rPr>
        <w:t>sv</w:t>
      </w:r>
      <w:proofErr w:type="spellEnd"/>
      <w:r w:rsidRPr="000C1988">
        <w:rPr>
          <w:rFonts w:ascii="Times New Roman" w:eastAsia="Arial Unicode MS" w:hAnsi="Times New Roman" w:cs="Times New Roman"/>
          <w:sz w:val="24"/>
          <w:szCs w:val="24"/>
          <w:bdr w:val="nil"/>
          <w:lang w:val="en-GB"/>
        </w:rPr>
        <w:t>.</w:t>
      </w:r>
      <w:proofErr w:type="gramEnd"/>
      <w:r w:rsidRPr="000C1988">
        <w:rPr>
          <w:rFonts w:ascii="Times New Roman" w:eastAsia="Arial Unicode MS" w:hAnsi="Times New Roman" w:cs="Times New Roman"/>
          <w:sz w:val="24"/>
          <w:szCs w:val="24"/>
          <w:bdr w:val="nil"/>
          <w:lang w:val="en-GB"/>
        </w:rPr>
        <w:t> 4, n. 6, pp. 30-31.</w:t>
      </w:r>
    </w:p>
    <w:p w:rsidR="000C1988" w:rsidRPr="000C1988" w:rsidRDefault="000C1988" w:rsidP="006F0850">
      <w:pPr>
        <w:spacing w:before="120" w:after="240"/>
        <w:rPr>
          <w:rFonts w:ascii="Times New Roman" w:eastAsia="Arial Unicode MS" w:hAnsi="Times New Roman" w:cs="Times New Roman"/>
          <w:sz w:val="24"/>
          <w:szCs w:val="24"/>
          <w:bdr w:val="nil"/>
          <w:lang w:val="en-GB"/>
        </w:rPr>
      </w:pPr>
      <w:proofErr w:type="spellStart"/>
      <w:proofErr w:type="gramStart"/>
      <w:r w:rsidRPr="000C1988">
        <w:rPr>
          <w:rFonts w:ascii="Times New Roman" w:eastAsia="Arial Unicode MS" w:hAnsi="Times New Roman" w:cs="Times New Roman"/>
          <w:sz w:val="24"/>
          <w:szCs w:val="24"/>
          <w:bdr w:val="nil"/>
          <w:lang w:val="en-GB"/>
        </w:rPr>
        <w:t>Pokorná</w:t>
      </w:r>
      <w:proofErr w:type="spellEnd"/>
      <w:r w:rsidRPr="000C1988">
        <w:rPr>
          <w:rFonts w:ascii="Times New Roman" w:eastAsia="Arial Unicode MS" w:hAnsi="Times New Roman" w:cs="Times New Roman"/>
          <w:sz w:val="24"/>
          <w:szCs w:val="24"/>
          <w:bdr w:val="nil"/>
          <w:lang w:val="en-GB"/>
        </w:rPr>
        <w:t>, T. (2019).</w:t>
      </w:r>
      <w:proofErr w:type="gramEnd"/>
      <w:r w:rsidRPr="000C1988">
        <w:rPr>
          <w:rFonts w:ascii="Times New Roman" w:eastAsia="Arial Unicode MS" w:hAnsi="Times New Roman" w:cs="Times New Roman"/>
          <w:sz w:val="24"/>
          <w:szCs w:val="24"/>
          <w:bdr w:val="nil"/>
          <w:lang w:val="en-GB"/>
        </w:rPr>
        <w:t xml:space="preserve"> Co se </w:t>
      </w:r>
      <w:proofErr w:type="spellStart"/>
      <w:r w:rsidRPr="000C1988">
        <w:rPr>
          <w:rFonts w:ascii="Times New Roman" w:eastAsia="Arial Unicode MS" w:hAnsi="Times New Roman" w:cs="Times New Roman"/>
          <w:sz w:val="24"/>
          <w:szCs w:val="24"/>
          <w:bdr w:val="nil"/>
          <w:lang w:val="en-GB"/>
        </w:rPr>
        <w:t>děje</w:t>
      </w:r>
      <w:proofErr w:type="spellEnd"/>
      <w:r w:rsidRPr="000C1988">
        <w:rPr>
          <w:rFonts w:ascii="Times New Roman" w:eastAsia="Arial Unicode MS" w:hAnsi="Times New Roman" w:cs="Times New Roman"/>
          <w:sz w:val="24"/>
          <w:szCs w:val="24"/>
          <w:bdr w:val="nil"/>
          <w:lang w:val="en-GB"/>
        </w:rPr>
        <w:t xml:space="preserve"> </w:t>
      </w:r>
      <w:proofErr w:type="spellStart"/>
      <w:proofErr w:type="gramStart"/>
      <w:r w:rsidRPr="000C1988">
        <w:rPr>
          <w:rFonts w:ascii="Times New Roman" w:eastAsia="Arial Unicode MS" w:hAnsi="Times New Roman" w:cs="Times New Roman"/>
          <w:sz w:val="24"/>
          <w:szCs w:val="24"/>
          <w:bdr w:val="nil"/>
          <w:lang w:val="en-GB"/>
        </w:rPr>
        <w:t>na</w:t>
      </w:r>
      <w:proofErr w:type="spellEnd"/>
      <w:proofErr w:type="gram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českém</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realitním</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trhu</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Aneb</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hlavní</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důvody</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neustálého</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růstu</w:t>
      </w:r>
      <w:proofErr w:type="spellEnd"/>
      <w:r w:rsidRPr="000C1988">
        <w:rPr>
          <w:rFonts w:ascii="Times New Roman" w:eastAsia="Arial Unicode MS" w:hAnsi="Times New Roman" w:cs="Times New Roman"/>
          <w:sz w:val="24"/>
          <w:szCs w:val="24"/>
          <w:bdr w:val="nil"/>
          <w:lang w:val="en-GB"/>
        </w:rPr>
        <w:t xml:space="preserve"> cen. Retrieved from 23. </w:t>
      </w:r>
      <w:proofErr w:type="gramStart"/>
      <w:r w:rsidRPr="000C1988">
        <w:rPr>
          <w:rFonts w:ascii="Times New Roman" w:eastAsia="Arial Unicode MS" w:hAnsi="Times New Roman" w:cs="Times New Roman"/>
          <w:sz w:val="24"/>
          <w:szCs w:val="24"/>
          <w:bdr w:val="nil"/>
          <w:lang w:val="en-GB"/>
        </w:rPr>
        <w:t>3.2019 :</w:t>
      </w:r>
      <w:proofErr w:type="gramEnd"/>
      <w:r w:rsidRPr="000C1988">
        <w:rPr>
          <w:rFonts w:ascii="Times New Roman" w:eastAsia="Arial Unicode MS" w:hAnsi="Times New Roman" w:cs="Times New Roman"/>
          <w:sz w:val="24"/>
          <w:szCs w:val="24"/>
          <w:bdr w:val="nil"/>
          <w:lang w:val="en-GB"/>
        </w:rPr>
        <w:t xml:space="preserve"> </w:t>
      </w:r>
      <w:hyperlink r:id="rId14" w:history="1">
        <w:r w:rsidRPr="000C1988">
          <w:rPr>
            <w:rFonts w:ascii="Times New Roman" w:eastAsia="Arial Unicode MS" w:hAnsi="Times New Roman" w:cs="Times New Roman"/>
            <w:sz w:val="24"/>
            <w:szCs w:val="24"/>
            <w:bdr w:val="nil"/>
            <w:lang w:val="en-GB"/>
          </w:rPr>
          <w:t>https://www.peak.cz/co-se-deje-na-ceskem-realitnim-trhu-aneb-hlavni-duvody-neustaleho-rustu-cen/15304/</w:t>
        </w:r>
      </w:hyperlink>
    </w:p>
    <w:p w:rsidR="000C1988" w:rsidRPr="000C1988" w:rsidRDefault="000C1988" w:rsidP="006F0850">
      <w:pPr>
        <w:autoSpaceDE w:val="0"/>
        <w:autoSpaceDN w:val="0"/>
        <w:adjustRightInd w:val="0"/>
        <w:spacing w:before="120" w:after="240"/>
        <w:rPr>
          <w:rFonts w:ascii="Times New Roman" w:eastAsia="Arial Unicode MS" w:hAnsi="Times New Roman" w:cs="Times New Roman"/>
          <w:sz w:val="24"/>
          <w:szCs w:val="24"/>
          <w:bdr w:val="nil"/>
          <w:lang w:val="en-GB"/>
        </w:rPr>
      </w:pPr>
      <w:proofErr w:type="spellStart"/>
      <w:proofErr w:type="gramStart"/>
      <w:r w:rsidRPr="000C1988">
        <w:rPr>
          <w:rFonts w:ascii="Times New Roman" w:eastAsia="Arial Unicode MS" w:hAnsi="Times New Roman" w:cs="Times New Roman"/>
          <w:sz w:val="24"/>
          <w:szCs w:val="24"/>
          <w:bdr w:val="nil"/>
          <w:lang w:val="en-GB"/>
        </w:rPr>
        <w:t>Špirková</w:t>
      </w:r>
      <w:proofErr w:type="spellEnd"/>
      <w:r w:rsidRPr="000C1988">
        <w:rPr>
          <w:rFonts w:ascii="Times New Roman" w:eastAsia="Arial Unicode MS" w:hAnsi="Times New Roman" w:cs="Times New Roman"/>
          <w:sz w:val="24"/>
          <w:szCs w:val="24"/>
          <w:bdr w:val="nil"/>
          <w:lang w:val="en-GB"/>
        </w:rPr>
        <w:t xml:space="preserve">, D., </w:t>
      </w:r>
      <w:proofErr w:type="spellStart"/>
      <w:r w:rsidRPr="000C1988">
        <w:rPr>
          <w:rFonts w:ascii="Times New Roman" w:eastAsia="Arial Unicode MS" w:hAnsi="Times New Roman" w:cs="Times New Roman"/>
          <w:sz w:val="24"/>
          <w:szCs w:val="24"/>
          <w:bdr w:val="nil"/>
          <w:lang w:val="en-GB"/>
        </w:rPr>
        <w:t>Ivanická</w:t>
      </w:r>
      <w:proofErr w:type="spellEnd"/>
      <w:r w:rsidRPr="000C1988">
        <w:rPr>
          <w:rFonts w:ascii="Times New Roman" w:eastAsia="Arial Unicode MS" w:hAnsi="Times New Roman" w:cs="Times New Roman"/>
          <w:sz w:val="24"/>
          <w:szCs w:val="24"/>
          <w:bdr w:val="nil"/>
          <w:lang w:val="en-GB"/>
        </w:rPr>
        <w:t xml:space="preserve">, K., </w:t>
      </w:r>
      <w:proofErr w:type="spellStart"/>
      <w:r w:rsidRPr="000C1988">
        <w:rPr>
          <w:rFonts w:ascii="Times New Roman" w:eastAsia="Arial Unicode MS" w:hAnsi="Times New Roman" w:cs="Times New Roman"/>
          <w:sz w:val="24"/>
          <w:szCs w:val="24"/>
          <w:bdr w:val="nil"/>
          <w:lang w:val="en-GB"/>
        </w:rPr>
        <w:t>Finka</w:t>
      </w:r>
      <w:proofErr w:type="spellEnd"/>
      <w:r w:rsidRPr="000C1988">
        <w:rPr>
          <w:rFonts w:ascii="Times New Roman" w:eastAsia="Arial Unicode MS" w:hAnsi="Times New Roman" w:cs="Times New Roman"/>
          <w:sz w:val="24"/>
          <w:szCs w:val="24"/>
          <w:bdr w:val="nil"/>
          <w:lang w:val="en-GB"/>
        </w:rPr>
        <w:t>, M. (2009).</w:t>
      </w:r>
      <w:proofErr w:type="gram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Bývanie</w:t>
      </w:r>
      <w:proofErr w:type="spellEnd"/>
      <w:r w:rsidRPr="000C1988">
        <w:rPr>
          <w:rFonts w:ascii="Times New Roman" w:eastAsia="Arial Unicode MS" w:hAnsi="Times New Roman" w:cs="Times New Roman"/>
          <w:sz w:val="24"/>
          <w:szCs w:val="24"/>
          <w:bdr w:val="nil"/>
          <w:lang w:val="en-GB"/>
        </w:rPr>
        <w:t xml:space="preserve"> a </w:t>
      </w:r>
      <w:proofErr w:type="spellStart"/>
      <w:r w:rsidRPr="000C1988">
        <w:rPr>
          <w:rFonts w:ascii="Times New Roman" w:eastAsia="Arial Unicode MS" w:hAnsi="Times New Roman" w:cs="Times New Roman"/>
          <w:sz w:val="24"/>
          <w:szCs w:val="24"/>
          <w:bdr w:val="nil"/>
          <w:lang w:val="en-GB"/>
        </w:rPr>
        <w:t>bytová</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politika</w:t>
      </w:r>
      <w:proofErr w:type="spellEnd"/>
      <w:r w:rsidRPr="000C1988">
        <w:rPr>
          <w:rFonts w:ascii="Times New Roman" w:eastAsia="Arial Unicode MS" w:hAnsi="Times New Roman" w:cs="Times New Roman"/>
          <w:sz w:val="24"/>
          <w:szCs w:val="24"/>
          <w:bdr w:val="nil"/>
          <w:lang w:val="en-GB"/>
        </w:rPr>
        <w:t xml:space="preserve"> – </w:t>
      </w:r>
      <w:proofErr w:type="spellStart"/>
      <w:r w:rsidRPr="000C1988">
        <w:rPr>
          <w:rFonts w:ascii="Times New Roman" w:eastAsia="Arial Unicode MS" w:hAnsi="Times New Roman" w:cs="Times New Roman"/>
          <w:sz w:val="24"/>
          <w:szCs w:val="24"/>
          <w:bdr w:val="nil"/>
          <w:lang w:val="en-GB"/>
        </w:rPr>
        <w:t>vývoj</w:t>
      </w:r>
      <w:proofErr w:type="spellEnd"/>
      <w:r w:rsidRPr="000C1988">
        <w:rPr>
          <w:rFonts w:ascii="Times New Roman" w:eastAsia="Arial Unicode MS" w:hAnsi="Times New Roman" w:cs="Times New Roman"/>
          <w:sz w:val="24"/>
          <w:szCs w:val="24"/>
          <w:bdr w:val="nil"/>
          <w:lang w:val="en-GB"/>
        </w:rPr>
        <w:t xml:space="preserve">, determinant </w:t>
      </w:r>
      <w:proofErr w:type="spellStart"/>
      <w:r w:rsidRPr="000C1988">
        <w:rPr>
          <w:rFonts w:ascii="Times New Roman" w:eastAsia="Arial Unicode MS" w:hAnsi="Times New Roman" w:cs="Times New Roman"/>
          <w:sz w:val="24"/>
          <w:szCs w:val="24"/>
          <w:bdr w:val="nil"/>
          <w:lang w:val="en-GB"/>
        </w:rPr>
        <w:t>rozvoja</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bývania</w:t>
      </w:r>
      <w:proofErr w:type="spellEnd"/>
      <w:r w:rsidRPr="000C1988">
        <w:rPr>
          <w:rFonts w:ascii="Times New Roman" w:eastAsia="Arial Unicode MS" w:hAnsi="Times New Roman" w:cs="Times New Roman"/>
          <w:sz w:val="24"/>
          <w:szCs w:val="24"/>
          <w:bdr w:val="nil"/>
          <w:lang w:val="en-GB"/>
        </w:rPr>
        <w:t xml:space="preserve"> a </w:t>
      </w:r>
      <w:proofErr w:type="spellStart"/>
      <w:r w:rsidRPr="000C1988">
        <w:rPr>
          <w:rFonts w:ascii="Times New Roman" w:eastAsia="Arial Unicode MS" w:hAnsi="Times New Roman" w:cs="Times New Roman"/>
          <w:sz w:val="24"/>
          <w:szCs w:val="24"/>
          <w:bdr w:val="nil"/>
          <w:lang w:val="en-GB"/>
        </w:rPr>
        <w:t>nové</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prístupy</w:t>
      </w:r>
      <w:proofErr w:type="spellEnd"/>
      <w:r w:rsidRPr="000C1988">
        <w:rPr>
          <w:rFonts w:ascii="Times New Roman" w:eastAsia="Arial Unicode MS" w:hAnsi="Times New Roman" w:cs="Times New Roman"/>
          <w:sz w:val="24"/>
          <w:szCs w:val="24"/>
          <w:bdr w:val="nil"/>
          <w:lang w:val="en-GB"/>
        </w:rPr>
        <w:t xml:space="preserve"> v </w:t>
      </w:r>
      <w:proofErr w:type="spellStart"/>
      <w:r w:rsidRPr="000C1988">
        <w:rPr>
          <w:rFonts w:ascii="Times New Roman" w:eastAsia="Arial Unicode MS" w:hAnsi="Times New Roman" w:cs="Times New Roman"/>
          <w:sz w:val="24"/>
          <w:szCs w:val="24"/>
          <w:bdr w:val="nil"/>
          <w:lang w:val="en-GB"/>
        </w:rPr>
        <w:t>nájomnej</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bytovej</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politike</w:t>
      </w:r>
      <w:proofErr w:type="spellEnd"/>
      <w:r w:rsidRPr="000C1988">
        <w:rPr>
          <w:rFonts w:ascii="Times New Roman" w:eastAsia="Arial Unicode MS" w:hAnsi="Times New Roman" w:cs="Times New Roman"/>
          <w:sz w:val="24"/>
          <w:szCs w:val="24"/>
          <w:bdr w:val="nil"/>
          <w:lang w:val="en-GB"/>
        </w:rPr>
        <w:t xml:space="preserve"> </w:t>
      </w:r>
      <w:proofErr w:type="spellStart"/>
      <w:proofErr w:type="gramStart"/>
      <w:r w:rsidRPr="000C1988">
        <w:rPr>
          <w:rFonts w:ascii="Times New Roman" w:eastAsia="Arial Unicode MS" w:hAnsi="Times New Roman" w:cs="Times New Roman"/>
          <w:sz w:val="24"/>
          <w:szCs w:val="24"/>
          <w:bdr w:val="nil"/>
          <w:lang w:val="en-GB"/>
        </w:rPr>
        <w:t>na</w:t>
      </w:r>
      <w:proofErr w:type="spellEnd"/>
      <w:proofErr w:type="gram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Slovensku</w:t>
      </w:r>
      <w:proofErr w:type="spellEnd"/>
      <w:r w:rsidRPr="000C1988">
        <w:rPr>
          <w:rFonts w:ascii="Times New Roman" w:eastAsia="Arial Unicode MS" w:hAnsi="Times New Roman" w:cs="Times New Roman"/>
          <w:sz w:val="24"/>
          <w:szCs w:val="24"/>
          <w:bdr w:val="nil"/>
          <w:lang w:val="en-GB"/>
        </w:rPr>
        <w:t xml:space="preserve">. </w:t>
      </w:r>
      <w:proofErr w:type="gramStart"/>
      <w:r w:rsidRPr="000C1988">
        <w:rPr>
          <w:rFonts w:ascii="Times New Roman" w:eastAsia="Arial Unicode MS" w:hAnsi="Times New Roman" w:cs="Times New Roman"/>
          <w:sz w:val="24"/>
          <w:szCs w:val="24"/>
          <w:bdr w:val="nil"/>
          <w:lang w:val="en-GB"/>
        </w:rPr>
        <w:t>STU in Bratislava, 191.</w:t>
      </w:r>
      <w:proofErr w:type="gramEnd"/>
    </w:p>
    <w:p w:rsidR="000C1988" w:rsidRPr="000C1988" w:rsidRDefault="000C1988" w:rsidP="006F0850">
      <w:pPr>
        <w:spacing w:before="120" w:after="240"/>
        <w:rPr>
          <w:rFonts w:ascii="Times New Roman" w:eastAsia="Arial Unicode MS" w:hAnsi="Times New Roman" w:cs="Times New Roman"/>
          <w:sz w:val="24"/>
          <w:szCs w:val="24"/>
          <w:bdr w:val="nil"/>
          <w:lang w:val="en-GB"/>
        </w:rPr>
      </w:pPr>
      <w:proofErr w:type="spellStart"/>
      <w:r w:rsidRPr="000C1988">
        <w:rPr>
          <w:rFonts w:ascii="Times New Roman" w:eastAsia="Arial Unicode MS" w:hAnsi="Times New Roman" w:cs="Times New Roman"/>
          <w:sz w:val="24"/>
          <w:szCs w:val="24"/>
          <w:bdr w:val="nil"/>
          <w:lang w:val="en-GB"/>
        </w:rPr>
        <w:t>Tworek</w:t>
      </w:r>
      <w:proofErr w:type="spellEnd"/>
      <w:r w:rsidRPr="000C1988">
        <w:rPr>
          <w:rFonts w:ascii="Times New Roman" w:eastAsia="Arial Unicode MS" w:hAnsi="Times New Roman" w:cs="Times New Roman"/>
          <w:sz w:val="24"/>
          <w:szCs w:val="24"/>
          <w:bdr w:val="nil"/>
          <w:lang w:val="en-GB"/>
        </w:rPr>
        <w:t xml:space="preserve">, P. (2010). The Economic Crisis in the Czech Republic and Poland: A case of the Construction Industry and the Real Estate Market. </w:t>
      </w:r>
      <w:proofErr w:type="spellStart"/>
      <w:r w:rsidRPr="000C1988">
        <w:rPr>
          <w:rFonts w:ascii="Times New Roman" w:eastAsia="Arial Unicode MS" w:hAnsi="Times New Roman" w:cs="Times New Roman"/>
          <w:sz w:val="24"/>
          <w:szCs w:val="24"/>
          <w:bdr w:val="nil"/>
          <w:lang w:val="en-GB"/>
        </w:rPr>
        <w:t>Evropské</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finanční</w:t>
      </w:r>
      <w:proofErr w:type="spellEnd"/>
      <w:r w:rsidRPr="000C1988">
        <w:rPr>
          <w:rFonts w:ascii="Times New Roman" w:eastAsia="Arial Unicode MS" w:hAnsi="Times New Roman" w:cs="Times New Roman"/>
          <w:sz w:val="24"/>
          <w:szCs w:val="24"/>
          <w:bdr w:val="nil"/>
          <w:lang w:val="en-GB"/>
        </w:rPr>
        <w:t xml:space="preserve"> </w:t>
      </w:r>
      <w:proofErr w:type="spellStart"/>
      <w:r w:rsidRPr="000C1988">
        <w:rPr>
          <w:rFonts w:ascii="Times New Roman" w:eastAsia="Arial Unicode MS" w:hAnsi="Times New Roman" w:cs="Times New Roman"/>
          <w:sz w:val="24"/>
          <w:szCs w:val="24"/>
          <w:bdr w:val="nil"/>
          <w:lang w:val="en-GB"/>
        </w:rPr>
        <w:t>systémy</w:t>
      </w:r>
      <w:proofErr w:type="spellEnd"/>
      <w:r w:rsidRPr="000C1988">
        <w:rPr>
          <w:rFonts w:ascii="Times New Roman" w:eastAsia="Arial Unicode MS" w:hAnsi="Times New Roman" w:cs="Times New Roman"/>
          <w:sz w:val="24"/>
          <w:szCs w:val="24"/>
          <w:bdr w:val="nil"/>
          <w:lang w:val="en-GB"/>
        </w:rPr>
        <w:t xml:space="preserve"> 2010, 81</w:t>
      </w:r>
    </w:p>
    <w:p w:rsidR="000C1988" w:rsidRPr="000C1988" w:rsidRDefault="000C1988" w:rsidP="000C1988">
      <w:pPr>
        <w:pBdr>
          <w:top w:val="nil"/>
          <w:left w:val="nil"/>
          <w:bottom w:val="nil"/>
          <w:right w:val="nil"/>
          <w:between w:val="nil"/>
          <w:bar w:val="nil"/>
        </w:pBdr>
        <w:autoSpaceDE w:val="0"/>
        <w:autoSpaceDN w:val="0"/>
        <w:adjustRightInd w:val="0"/>
        <w:spacing w:before="120" w:after="240"/>
        <w:rPr>
          <w:rFonts w:ascii="Times New Roman" w:eastAsia="Arial Unicode MS" w:hAnsi="Times New Roman" w:cs="Times New Roman"/>
          <w:sz w:val="24"/>
          <w:szCs w:val="24"/>
          <w:bdr w:val="nil"/>
          <w:lang w:val="en-GB"/>
        </w:rPr>
      </w:pPr>
      <w:proofErr w:type="spellStart"/>
      <w:r w:rsidRPr="000C1988">
        <w:rPr>
          <w:rFonts w:ascii="Times New Roman" w:eastAsia="Arial Unicode MS" w:hAnsi="Times New Roman" w:cs="Times New Roman"/>
          <w:sz w:val="24"/>
          <w:szCs w:val="24"/>
          <w:bdr w:val="nil"/>
          <w:lang w:val="en-GB"/>
        </w:rPr>
        <w:t>Uhman</w:t>
      </w:r>
      <w:proofErr w:type="spellEnd"/>
      <w:r w:rsidRPr="000C1988">
        <w:rPr>
          <w:rFonts w:ascii="Times New Roman" w:eastAsia="Arial Unicode MS" w:hAnsi="Times New Roman" w:cs="Times New Roman"/>
          <w:sz w:val="24"/>
          <w:szCs w:val="24"/>
          <w:bdr w:val="nil"/>
          <w:lang w:val="en-GB"/>
        </w:rPr>
        <w:t xml:space="preserve">, J. (2019). </w:t>
      </w:r>
      <w:proofErr w:type="gramStart"/>
      <w:r w:rsidRPr="000C1988">
        <w:rPr>
          <w:rFonts w:ascii="Times New Roman" w:eastAsia="Arial Unicode MS" w:hAnsi="Times New Roman" w:cs="Times New Roman"/>
          <w:sz w:val="24"/>
          <w:szCs w:val="24"/>
          <w:bdr w:val="nil"/>
          <w:lang w:val="en-GB"/>
        </w:rPr>
        <w:t xml:space="preserve">The model of the Investment </w:t>
      </w:r>
      <w:proofErr w:type="spellStart"/>
      <w:r w:rsidRPr="000C1988">
        <w:rPr>
          <w:rFonts w:ascii="Times New Roman" w:eastAsia="Arial Unicode MS" w:hAnsi="Times New Roman" w:cs="Times New Roman"/>
          <w:sz w:val="24"/>
          <w:szCs w:val="24"/>
          <w:bdr w:val="nil"/>
          <w:lang w:val="en-GB"/>
        </w:rPr>
        <w:t>Behavior</w:t>
      </w:r>
      <w:proofErr w:type="spellEnd"/>
      <w:r w:rsidRPr="000C1988">
        <w:rPr>
          <w:rFonts w:ascii="Times New Roman" w:eastAsia="Arial Unicode MS" w:hAnsi="Times New Roman" w:cs="Times New Roman"/>
          <w:sz w:val="24"/>
          <w:szCs w:val="24"/>
          <w:bdr w:val="nil"/>
          <w:lang w:val="en-GB"/>
        </w:rPr>
        <w:t xml:space="preserve"> of the Czech Household leading to its financial security – Real Estate Investment Price Model.</w:t>
      </w:r>
      <w:proofErr w:type="gramEnd"/>
      <w:r w:rsidRPr="000C1988">
        <w:rPr>
          <w:rFonts w:ascii="Times New Roman" w:eastAsia="Arial Unicode MS" w:hAnsi="Times New Roman" w:cs="Times New Roman"/>
          <w:sz w:val="24"/>
          <w:szCs w:val="24"/>
          <w:bdr w:val="nil"/>
          <w:lang w:val="en-GB"/>
        </w:rPr>
        <w:t xml:space="preserve"> 10 </w:t>
      </w:r>
      <w:proofErr w:type="spellStart"/>
      <w:proofErr w:type="gramStart"/>
      <w:r w:rsidRPr="000C1988">
        <w:rPr>
          <w:rFonts w:ascii="Times New Roman" w:eastAsia="Arial Unicode MS" w:hAnsi="Times New Roman" w:cs="Times New Roman"/>
          <w:sz w:val="24"/>
          <w:szCs w:val="24"/>
          <w:bdr w:val="nil"/>
          <w:lang w:val="en-GB"/>
        </w:rPr>
        <w:t>th</w:t>
      </w:r>
      <w:proofErr w:type="spellEnd"/>
      <w:proofErr w:type="gramEnd"/>
      <w:r w:rsidRPr="000C1988">
        <w:rPr>
          <w:rFonts w:ascii="Times New Roman" w:eastAsia="Arial Unicode MS" w:hAnsi="Times New Roman" w:cs="Times New Roman"/>
          <w:sz w:val="24"/>
          <w:szCs w:val="24"/>
          <w:bdr w:val="nil"/>
          <w:lang w:val="en-GB"/>
        </w:rPr>
        <w:t xml:space="preserve"> International Conference on Currency, banking and International Finance – ICCBIF 2019. </w:t>
      </w:r>
      <w:proofErr w:type="spellStart"/>
      <w:proofErr w:type="gramStart"/>
      <w:r w:rsidRPr="000C1988">
        <w:rPr>
          <w:rFonts w:ascii="Times New Roman" w:eastAsia="Arial Unicode MS" w:hAnsi="Times New Roman" w:cs="Times New Roman"/>
          <w:sz w:val="24"/>
          <w:szCs w:val="24"/>
          <w:bdr w:val="nil"/>
          <w:lang w:val="en-GB"/>
        </w:rPr>
        <w:t>Econom</w:t>
      </w:r>
      <w:proofErr w:type="spellEnd"/>
      <w:r w:rsidRPr="000C1988">
        <w:rPr>
          <w:rFonts w:ascii="Times New Roman" w:eastAsia="Arial Unicode MS" w:hAnsi="Times New Roman" w:cs="Times New Roman"/>
          <w:sz w:val="24"/>
          <w:szCs w:val="24"/>
          <w:bdr w:val="nil"/>
          <w:lang w:val="en-GB"/>
        </w:rPr>
        <w:t xml:space="preserve"> University of Economic in Bratislava.</w:t>
      </w:r>
      <w:proofErr w:type="gramEnd"/>
      <w:r w:rsidRPr="000C1988">
        <w:rPr>
          <w:rFonts w:ascii="Times New Roman" w:eastAsia="Arial Unicode MS" w:hAnsi="Times New Roman" w:cs="Times New Roman"/>
          <w:sz w:val="24"/>
          <w:szCs w:val="24"/>
          <w:bdr w:val="nil"/>
          <w:lang w:val="en-GB"/>
        </w:rPr>
        <w:t xml:space="preserve"> 240 – 248</w:t>
      </w:r>
    </w:p>
    <w:p w:rsidR="000C1988" w:rsidRPr="000C1988" w:rsidRDefault="000C1988" w:rsidP="000C1988">
      <w:pPr>
        <w:pBdr>
          <w:top w:val="nil"/>
          <w:left w:val="nil"/>
          <w:bottom w:val="nil"/>
          <w:right w:val="nil"/>
          <w:between w:val="nil"/>
          <w:bar w:val="nil"/>
        </w:pBdr>
        <w:spacing w:before="120" w:after="240"/>
        <w:rPr>
          <w:rFonts w:ascii="Times New Roman" w:eastAsia="Arial Unicode MS" w:hAnsi="Times New Roman" w:cs="Times New Roman"/>
          <w:sz w:val="24"/>
          <w:szCs w:val="24"/>
          <w:bdr w:val="nil"/>
          <w:lang w:val="en-GB"/>
        </w:rPr>
      </w:pPr>
      <w:proofErr w:type="spellStart"/>
      <w:proofErr w:type="gramStart"/>
      <w:r w:rsidRPr="000C1988">
        <w:rPr>
          <w:rFonts w:ascii="Times New Roman" w:eastAsia="Arial Unicode MS" w:hAnsi="Times New Roman" w:cs="Times New Roman"/>
          <w:sz w:val="24"/>
          <w:szCs w:val="24"/>
          <w:bdr w:val="nil"/>
          <w:lang w:val="en-GB"/>
        </w:rPr>
        <w:t>Vizek</w:t>
      </w:r>
      <w:proofErr w:type="spellEnd"/>
      <w:r w:rsidRPr="000C1988">
        <w:rPr>
          <w:rFonts w:ascii="Times New Roman" w:eastAsia="Arial Unicode MS" w:hAnsi="Times New Roman" w:cs="Times New Roman"/>
          <w:sz w:val="24"/>
          <w:szCs w:val="24"/>
          <w:bdr w:val="nil"/>
          <w:lang w:val="en-GB"/>
        </w:rPr>
        <w:t>, M. (2010).</w:t>
      </w:r>
      <w:proofErr w:type="gramEnd"/>
      <w:r w:rsidRPr="000C1988">
        <w:rPr>
          <w:rFonts w:ascii="Times New Roman" w:eastAsia="Arial Unicode MS" w:hAnsi="Times New Roman" w:cs="Times New Roman"/>
          <w:sz w:val="24"/>
          <w:szCs w:val="24"/>
          <w:bdr w:val="nil"/>
          <w:lang w:val="en-GB"/>
        </w:rPr>
        <w:t xml:space="preserve"> </w:t>
      </w:r>
      <w:proofErr w:type="gramStart"/>
      <w:r w:rsidRPr="000C1988">
        <w:rPr>
          <w:rFonts w:ascii="Times New Roman" w:eastAsia="Arial Unicode MS" w:hAnsi="Times New Roman" w:cs="Times New Roman"/>
          <w:sz w:val="24"/>
          <w:szCs w:val="24"/>
          <w:bdr w:val="nil"/>
          <w:lang w:val="en-GB"/>
        </w:rPr>
        <w:t>Short-run and long-run determinants of house prices in eastern and western European Countries.</w:t>
      </w:r>
      <w:proofErr w:type="gramEnd"/>
      <w:r w:rsidRPr="000C1988">
        <w:rPr>
          <w:rFonts w:ascii="Times New Roman" w:eastAsia="Arial Unicode MS" w:hAnsi="Times New Roman" w:cs="Times New Roman"/>
          <w:sz w:val="24"/>
          <w:szCs w:val="24"/>
          <w:bdr w:val="nil"/>
          <w:lang w:val="en-GB"/>
        </w:rPr>
        <w:t> </w:t>
      </w:r>
      <w:proofErr w:type="spellStart"/>
      <w:proofErr w:type="gramStart"/>
      <w:r w:rsidRPr="000C1988">
        <w:rPr>
          <w:rFonts w:ascii="Times New Roman" w:eastAsia="Arial Unicode MS" w:hAnsi="Times New Roman" w:cs="Times New Roman"/>
          <w:i/>
          <w:iCs/>
          <w:sz w:val="24"/>
          <w:szCs w:val="24"/>
          <w:bdr w:val="nil"/>
          <w:lang w:val="en-GB"/>
        </w:rPr>
        <w:t>Privredna</w:t>
      </w:r>
      <w:proofErr w:type="spellEnd"/>
      <w:r w:rsidRPr="000C1988">
        <w:rPr>
          <w:rFonts w:ascii="Times New Roman" w:eastAsia="Arial Unicode MS" w:hAnsi="Times New Roman" w:cs="Times New Roman"/>
          <w:i/>
          <w:iCs/>
          <w:sz w:val="24"/>
          <w:szCs w:val="24"/>
          <w:bdr w:val="nil"/>
          <w:lang w:val="en-GB"/>
        </w:rPr>
        <w:t xml:space="preserve"> </w:t>
      </w:r>
      <w:proofErr w:type="spellStart"/>
      <w:r w:rsidRPr="000C1988">
        <w:rPr>
          <w:rFonts w:ascii="Times New Roman" w:eastAsia="Arial Unicode MS" w:hAnsi="Times New Roman" w:cs="Times New Roman"/>
          <w:i/>
          <w:iCs/>
          <w:sz w:val="24"/>
          <w:szCs w:val="24"/>
          <w:bdr w:val="nil"/>
          <w:lang w:val="en-GB"/>
        </w:rPr>
        <w:t>kretanja</w:t>
      </w:r>
      <w:proofErr w:type="spellEnd"/>
      <w:r w:rsidRPr="000C1988">
        <w:rPr>
          <w:rFonts w:ascii="Times New Roman" w:eastAsia="Arial Unicode MS" w:hAnsi="Times New Roman" w:cs="Times New Roman"/>
          <w:i/>
          <w:iCs/>
          <w:sz w:val="24"/>
          <w:szCs w:val="24"/>
          <w:bdr w:val="nil"/>
          <w:lang w:val="en-GB"/>
        </w:rPr>
        <w:t xml:space="preserve"> </w:t>
      </w:r>
      <w:proofErr w:type="spellStart"/>
      <w:r w:rsidRPr="000C1988">
        <w:rPr>
          <w:rFonts w:ascii="Times New Roman" w:eastAsia="Arial Unicode MS" w:hAnsi="Times New Roman" w:cs="Times New Roman"/>
          <w:i/>
          <w:iCs/>
          <w:sz w:val="24"/>
          <w:szCs w:val="24"/>
          <w:bdr w:val="nil"/>
          <w:lang w:val="en-GB"/>
        </w:rPr>
        <w:t>i</w:t>
      </w:r>
      <w:proofErr w:type="spellEnd"/>
      <w:r w:rsidRPr="000C1988">
        <w:rPr>
          <w:rFonts w:ascii="Times New Roman" w:eastAsia="Arial Unicode MS" w:hAnsi="Times New Roman" w:cs="Times New Roman"/>
          <w:i/>
          <w:iCs/>
          <w:sz w:val="24"/>
          <w:szCs w:val="24"/>
          <w:bdr w:val="nil"/>
          <w:lang w:val="en-GB"/>
        </w:rPr>
        <w:t xml:space="preserve"> </w:t>
      </w:r>
      <w:proofErr w:type="spellStart"/>
      <w:r w:rsidRPr="000C1988">
        <w:rPr>
          <w:rFonts w:ascii="Times New Roman" w:eastAsia="Arial Unicode MS" w:hAnsi="Times New Roman" w:cs="Times New Roman"/>
          <w:i/>
          <w:iCs/>
          <w:sz w:val="24"/>
          <w:szCs w:val="24"/>
          <w:bdr w:val="nil"/>
          <w:lang w:val="en-GB"/>
        </w:rPr>
        <w:t>ekonomska</w:t>
      </w:r>
      <w:proofErr w:type="spellEnd"/>
      <w:r w:rsidRPr="000C1988">
        <w:rPr>
          <w:rFonts w:ascii="Times New Roman" w:eastAsia="Arial Unicode MS" w:hAnsi="Times New Roman" w:cs="Times New Roman"/>
          <w:i/>
          <w:iCs/>
          <w:sz w:val="24"/>
          <w:szCs w:val="24"/>
          <w:bdr w:val="nil"/>
          <w:lang w:val="en-GB"/>
        </w:rPr>
        <w:t xml:space="preserve"> </w:t>
      </w:r>
      <w:proofErr w:type="spellStart"/>
      <w:r w:rsidRPr="000C1988">
        <w:rPr>
          <w:rFonts w:ascii="Times New Roman" w:eastAsia="Arial Unicode MS" w:hAnsi="Times New Roman" w:cs="Times New Roman"/>
          <w:i/>
          <w:iCs/>
          <w:sz w:val="24"/>
          <w:szCs w:val="24"/>
          <w:bdr w:val="nil"/>
          <w:lang w:val="en-GB"/>
        </w:rPr>
        <w:t>politika</w:t>
      </w:r>
      <w:proofErr w:type="spellEnd"/>
      <w:r w:rsidRPr="000C1988">
        <w:rPr>
          <w:rFonts w:ascii="Times New Roman" w:eastAsia="Arial Unicode MS" w:hAnsi="Times New Roman" w:cs="Times New Roman"/>
          <w:sz w:val="24"/>
          <w:szCs w:val="24"/>
          <w:bdr w:val="nil"/>
          <w:lang w:val="en-GB"/>
        </w:rPr>
        <w:t>, </w:t>
      </w:r>
      <w:r w:rsidRPr="000C1988">
        <w:rPr>
          <w:rFonts w:ascii="Times New Roman" w:eastAsia="Arial Unicode MS" w:hAnsi="Times New Roman" w:cs="Times New Roman"/>
          <w:i/>
          <w:iCs/>
          <w:sz w:val="24"/>
          <w:szCs w:val="24"/>
          <w:bdr w:val="nil"/>
          <w:lang w:val="en-GB"/>
        </w:rPr>
        <w:t>125</w:t>
      </w:r>
      <w:r w:rsidRPr="000C1988">
        <w:rPr>
          <w:rFonts w:ascii="Times New Roman" w:eastAsia="Arial Unicode MS" w:hAnsi="Times New Roman" w:cs="Times New Roman"/>
          <w:sz w:val="24"/>
          <w:szCs w:val="24"/>
          <w:bdr w:val="nil"/>
          <w:lang w:val="en-GB"/>
        </w:rPr>
        <w:t>(2010), 27-60.</w:t>
      </w:r>
      <w:proofErr w:type="gramEnd"/>
    </w:p>
    <w:p w:rsidR="00A31974" w:rsidRDefault="004B32F3" w:rsidP="00FC3D2F">
      <w:pPr>
        <w:spacing w:line="360" w:lineRule="auto"/>
        <w:jc w:val="both"/>
        <w:rPr>
          <w:rFonts w:ascii="Times New Roman" w:hAnsi="Times New Roman" w:cs="Times New Roman"/>
          <w:b/>
          <w:sz w:val="24"/>
          <w:szCs w:val="24"/>
        </w:rPr>
      </w:pPr>
      <w:r w:rsidRPr="004B32F3">
        <w:rPr>
          <w:rFonts w:ascii="Times New Roman" w:hAnsi="Times New Roman" w:cs="Times New Roman"/>
          <w:b/>
          <w:sz w:val="24"/>
          <w:szCs w:val="24"/>
        </w:rPr>
        <w:t>Kontaktní údaje</w:t>
      </w:r>
      <w:r>
        <w:rPr>
          <w:rFonts w:ascii="Times New Roman" w:hAnsi="Times New Roman" w:cs="Times New Roman"/>
          <w:b/>
          <w:sz w:val="24"/>
          <w:szCs w:val="24"/>
        </w:rPr>
        <w:t>:</w:t>
      </w:r>
    </w:p>
    <w:p w:rsidR="004B32F3" w:rsidRDefault="004B32F3" w:rsidP="004B32F3">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Ing. Jiří </w:t>
      </w:r>
      <w:proofErr w:type="spellStart"/>
      <w:r>
        <w:rPr>
          <w:rFonts w:ascii="Times New Roman" w:hAnsi="Times New Roman" w:cs="Times New Roman"/>
          <w:sz w:val="24"/>
          <w:szCs w:val="24"/>
        </w:rPr>
        <w:t>Uhman</w:t>
      </w:r>
      <w:proofErr w:type="spellEnd"/>
      <w:r>
        <w:rPr>
          <w:rFonts w:ascii="Times New Roman" w:hAnsi="Times New Roman" w:cs="Times New Roman"/>
          <w:sz w:val="24"/>
          <w:szCs w:val="24"/>
        </w:rPr>
        <w:t>, MBA</w:t>
      </w:r>
    </w:p>
    <w:p w:rsidR="004B32F3" w:rsidRDefault="004B32F3" w:rsidP="004B32F3">
      <w:pPr>
        <w:spacing w:line="240" w:lineRule="atLeast"/>
        <w:jc w:val="both"/>
        <w:rPr>
          <w:rFonts w:ascii="Times New Roman" w:hAnsi="Times New Roman" w:cs="Times New Roman"/>
          <w:sz w:val="24"/>
          <w:szCs w:val="24"/>
        </w:rPr>
      </w:pPr>
      <w:r>
        <w:rPr>
          <w:rFonts w:ascii="Times New Roman" w:hAnsi="Times New Roman" w:cs="Times New Roman"/>
          <w:sz w:val="24"/>
          <w:szCs w:val="24"/>
        </w:rPr>
        <w:t>Katedra financí a účetnictví</w:t>
      </w:r>
      <w:r w:rsidR="006F0850">
        <w:rPr>
          <w:rFonts w:ascii="Times New Roman" w:hAnsi="Times New Roman" w:cs="Times New Roman"/>
          <w:sz w:val="24"/>
          <w:szCs w:val="24"/>
        </w:rPr>
        <w:t xml:space="preserve">, </w:t>
      </w:r>
      <w:r>
        <w:rPr>
          <w:rFonts w:ascii="Times New Roman" w:hAnsi="Times New Roman" w:cs="Times New Roman"/>
          <w:sz w:val="24"/>
          <w:szCs w:val="24"/>
        </w:rPr>
        <w:t>Fakulta sociálně – ekonomická</w:t>
      </w:r>
    </w:p>
    <w:p w:rsidR="004B32F3" w:rsidRDefault="004B32F3" w:rsidP="004B32F3">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Univerzita J. E. </w:t>
      </w:r>
      <w:proofErr w:type="spellStart"/>
      <w:r>
        <w:rPr>
          <w:rFonts w:ascii="Times New Roman" w:hAnsi="Times New Roman" w:cs="Times New Roman"/>
          <w:sz w:val="24"/>
          <w:szCs w:val="24"/>
        </w:rPr>
        <w:t>Purkyně</w:t>
      </w:r>
      <w:proofErr w:type="spellEnd"/>
      <w:r>
        <w:rPr>
          <w:rFonts w:ascii="Times New Roman" w:hAnsi="Times New Roman" w:cs="Times New Roman"/>
          <w:sz w:val="24"/>
          <w:szCs w:val="24"/>
        </w:rPr>
        <w:t xml:space="preserve"> v Ústí nad Labem</w:t>
      </w:r>
    </w:p>
    <w:p w:rsidR="00575BF2" w:rsidRDefault="00575BF2" w:rsidP="004B32F3">
      <w:pPr>
        <w:spacing w:line="240" w:lineRule="atLeast"/>
        <w:jc w:val="both"/>
        <w:rPr>
          <w:rFonts w:ascii="Times New Roman" w:hAnsi="Times New Roman" w:cs="Times New Roman"/>
          <w:sz w:val="24"/>
          <w:szCs w:val="24"/>
        </w:rPr>
      </w:pPr>
      <w:r>
        <w:rPr>
          <w:rFonts w:ascii="Times New Roman" w:hAnsi="Times New Roman" w:cs="Times New Roman"/>
          <w:sz w:val="24"/>
          <w:szCs w:val="24"/>
        </w:rPr>
        <w:t>Pasteurova 1, Ústí nad Labem 400 01</w:t>
      </w:r>
    </w:p>
    <w:p w:rsidR="00575BF2" w:rsidRPr="00F96941" w:rsidRDefault="00575BF2" w:rsidP="004B32F3">
      <w:pPr>
        <w:spacing w:line="240" w:lineRule="atLeast"/>
        <w:jc w:val="both"/>
        <w:rPr>
          <w:rFonts w:ascii="Times New Roman" w:hAnsi="Times New Roman" w:cs="Times New Roman"/>
          <w:sz w:val="24"/>
          <w:szCs w:val="24"/>
        </w:rPr>
      </w:pPr>
      <w:r w:rsidRPr="00F96941">
        <w:rPr>
          <w:rFonts w:ascii="Times New Roman" w:hAnsi="Times New Roman" w:cs="Times New Roman"/>
          <w:sz w:val="24"/>
          <w:szCs w:val="24"/>
        </w:rPr>
        <w:t xml:space="preserve">Email: </w:t>
      </w:r>
      <w:hyperlink r:id="rId15" w:history="1">
        <w:r w:rsidR="00F96941" w:rsidRPr="00F96941">
          <w:rPr>
            <w:rStyle w:val="Hypertextovodkaz"/>
            <w:rFonts w:ascii="Times New Roman" w:hAnsi="Times New Roman" w:cs="Times New Roman"/>
            <w:color w:val="auto"/>
            <w:sz w:val="24"/>
            <w:szCs w:val="24"/>
            <w:u w:val="none"/>
          </w:rPr>
          <w:t>jiri.uhman@ujep.cz</w:t>
        </w:r>
      </w:hyperlink>
      <w:r w:rsidR="00F96941" w:rsidRPr="00F96941">
        <w:rPr>
          <w:rFonts w:ascii="Times New Roman" w:hAnsi="Times New Roman" w:cs="Times New Roman"/>
          <w:sz w:val="24"/>
          <w:szCs w:val="24"/>
        </w:rPr>
        <w:t>, tel.: + 420 603 278 400</w:t>
      </w:r>
    </w:p>
    <w:sectPr w:rsidR="00575BF2" w:rsidRPr="00F96941" w:rsidSect="00D8414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56C" w:rsidRDefault="0054556C" w:rsidP="0084181B">
      <w:pPr>
        <w:spacing w:after="0" w:line="240" w:lineRule="auto"/>
      </w:pPr>
      <w:r>
        <w:separator/>
      </w:r>
    </w:p>
  </w:endnote>
  <w:endnote w:type="continuationSeparator" w:id="0">
    <w:p w:rsidR="0054556C" w:rsidRDefault="0054556C" w:rsidP="00841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56C" w:rsidRDefault="0054556C" w:rsidP="0084181B">
      <w:pPr>
        <w:spacing w:after="0" w:line="240" w:lineRule="auto"/>
      </w:pPr>
      <w:r>
        <w:separator/>
      </w:r>
    </w:p>
  </w:footnote>
  <w:footnote w:type="continuationSeparator" w:id="0">
    <w:p w:rsidR="0054556C" w:rsidRDefault="0054556C" w:rsidP="008418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941"/>
    <w:multiLevelType w:val="multilevel"/>
    <w:tmpl w:val="14287FF6"/>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4B3A3488"/>
    <w:multiLevelType w:val="multilevel"/>
    <w:tmpl w:val="E200A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footnotePr>
    <w:footnote w:id="-1"/>
    <w:footnote w:id="0"/>
  </w:footnotePr>
  <w:endnotePr>
    <w:endnote w:id="-1"/>
    <w:endnote w:id="0"/>
  </w:endnotePr>
  <w:compat/>
  <w:rsids>
    <w:rsidRoot w:val="00514368"/>
    <w:rsid w:val="00023103"/>
    <w:rsid w:val="000350D4"/>
    <w:rsid w:val="00057D67"/>
    <w:rsid w:val="00070B7E"/>
    <w:rsid w:val="00087FBF"/>
    <w:rsid w:val="00095F8D"/>
    <w:rsid w:val="000B3BED"/>
    <w:rsid w:val="000C1988"/>
    <w:rsid w:val="001153AA"/>
    <w:rsid w:val="00183DD6"/>
    <w:rsid w:val="001B429A"/>
    <w:rsid w:val="001D4099"/>
    <w:rsid w:val="00227B59"/>
    <w:rsid w:val="00254453"/>
    <w:rsid w:val="0028707B"/>
    <w:rsid w:val="00292A5C"/>
    <w:rsid w:val="002B4E77"/>
    <w:rsid w:val="003101E4"/>
    <w:rsid w:val="0034501D"/>
    <w:rsid w:val="0035467A"/>
    <w:rsid w:val="003A5AFB"/>
    <w:rsid w:val="003B309C"/>
    <w:rsid w:val="003B76AF"/>
    <w:rsid w:val="003E1DDE"/>
    <w:rsid w:val="003F6637"/>
    <w:rsid w:val="00432C38"/>
    <w:rsid w:val="004452B5"/>
    <w:rsid w:val="0045141E"/>
    <w:rsid w:val="00457A7E"/>
    <w:rsid w:val="00465607"/>
    <w:rsid w:val="004804FF"/>
    <w:rsid w:val="004B32F3"/>
    <w:rsid w:val="004C4D18"/>
    <w:rsid w:val="004E08FD"/>
    <w:rsid w:val="004E1FDD"/>
    <w:rsid w:val="004E54A0"/>
    <w:rsid w:val="004F4CC6"/>
    <w:rsid w:val="00514368"/>
    <w:rsid w:val="0054556C"/>
    <w:rsid w:val="00547B18"/>
    <w:rsid w:val="00575BF2"/>
    <w:rsid w:val="005773A4"/>
    <w:rsid w:val="005D11CB"/>
    <w:rsid w:val="00606B14"/>
    <w:rsid w:val="0064477C"/>
    <w:rsid w:val="00647525"/>
    <w:rsid w:val="00647C55"/>
    <w:rsid w:val="00667D56"/>
    <w:rsid w:val="006F0850"/>
    <w:rsid w:val="007153E8"/>
    <w:rsid w:val="0077240A"/>
    <w:rsid w:val="00772959"/>
    <w:rsid w:val="00782B9D"/>
    <w:rsid w:val="0079271E"/>
    <w:rsid w:val="007A4811"/>
    <w:rsid w:val="007A5039"/>
    <w:rsid w:val="007A6544"/>
    <w:rsid w:val="007B3E10"/>
    <w:rsid w:val="007C5DC5"/>
    <w:rsid w:val="007D66BE"/>
    <w:rsid w:val="007E60BC"/>
    <w:rsid w:val="00806228"/>
    <w:rsid w:val="00821FA8"/>
    <w:rsid w:val="0084181B"/>
    <w:rsid w:val="00847795"/>
    <w:rsid w:val="00857C43"/>
    <w:rsid w:val="00866433"/>
    <w:rsid w:val="008A5565"/>
    <w:rsid w:val="008C5F44"/>
    <w:rsid w:val="008C6EB8"/>
    <w:rsid w:val="008C7F06"/>
    <w:rsid w:val="008D2A87"/>
    <w:rsid w:val="008F2B8B"/>
    <w:rsid w:val="00907D4B"/>
    <w:rsid w:val="0095102C"/>
    <w:rsid w:val="00971E19"/>
    <w:rsid w:val="00994E38"/>
    <w:rsid w:val="00996CB4"/>
    <w:rsid w:val="009B1259"/>
    <w:rsid w:val="009F4F0D"/>
    <w:rsid w:val="009F61EA"/>
    <w:rsid w:val="00A040BD"/>
    <w:rsid w:val="00A17168"/>
    <w:rsid w:val="00A31974"/>
    <w:rsid w:val="00A641AE"/>
    <w:rsid w:val="00A65F74"/>
    <w:rsid w:val="00A74ECF"/>
    <w:rsid w:val="00AA11F4"/>
    <w:rsid w:val="00AB2748"/>
    <w:rsid w:val="00AB4199"/>
    <w:rsid w:val="00AC2F82"/>
    <w:rsid w:val="00AF72F8"/>
    <w:rsid w:val="00B1589E"/>
    <w:rsid w:val="00B1657A"/>
    <w:rsid w:val="00B511D0"/>
    <w:rsid w:val="00B80819"/>
    <w:rsid w:val="00B86B7A"/>
    <w:rsid w:val="00B91AC7"/>
    <w:rsid w:val="00B96C7C"/>
    <w:rsid w:val="00BA2C6C"/>
    <w:rsid w:val="00BB5622"/>
    <w:rsid w:val="00BD7489"/>
    <w:rsid w:val="00C138DD"/>
    <w:rsid w:val="00C31736"/>
    <w:rsid w:val="00C40280"/>
    <w:rsid w:val="00C756F2"/>
    <w:rsid w:val="00C775B6"/>
    <w:rsid w:val="00C82E7F"/>
    <w:rsid w:val="00C95515"/>
    <w:rsid w:val="00CA0AB1"/>
    <w:rsid w:val="00CB79EB"/>
    <w:rsid w:val="00CC4DF1"/>
    <w:rsid w:val="00CC6BD5"/>
    <w:rsid w:val="00CD17AD"/>
    <w:rsid w:val="00D00099"/>
    <w:rsid w:val="00D3207A"/>
    <w:rsid w:val="00D37EFA"/>
    <w:rsid w:val="00D44B4A"/>
    <w:rsid w:val="00D55334"/>
    <w:rsid w:val="00D61155"/>
    <w:rsid w:val="00D6787E"/>
    <w:rsid w:val="00D70B12"/>
    <w:rsid w:val="00D8414B"/>
    <w:rsid w:val="00DA7208"/>
    <w:rsid w:val="00DC453C"/>
    <w:rsid w:val="00DD3C22"/>
    <w:rsid w:val="00DE18E5"/>
    <w:rsid w:val="00DE3F3D"/>
    <w:rsid w:val="00DF735A"/>
    <w:rsid w:val="00E07055"/>
    <w:rsid w:val="00E6546D"/>
    <w:rsid w:val="00EB0419"/>
    <w:rsid w:val="00EB45CA"/>
    <w:rsid w:val="00ED36EF"/>
    <w:rsid w:val="00EF380A"/>
    <w:rsid w:val="00F00A9A"/>
    <w:rsid w:val="00F1562C"/>
    <w:rsid w:val="00F170F6"/>
    <w:rsid w:val="00F30E7A"/>
    <w:rsid w:val="00F33BEE"/>
    <w:rsid w:val="00F413B2"/>
    <w:rsid w:val="00F8087C"/>
    <w:rsid w:val="00F83AC3"/>
    <w:rsid w:val="00F96941"/>
    <w:rsid w:val="00FC3D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414B"/>
  </w:style>
  <w:style w:type="paragraph" w:styleId="Nadpis1">
    <w:name w:val="heading 1"/>
    <w:basedOn w:val="Normln"/>
    <w:next w:val="Normln"/>
    <w:link w:val="Nadpis1Char"/>
    <w:autoRedefine/>
    <w:uiPriority w:val="9"/>
    <w:qFormat/>
    <w:rsid w:val="00A31974"/>
    <w:pPr>
      <w:keepNext/>
      <w:keepLines/>
      <w:numPr>
        <w:numId w:val="2"/>
      </w:numPr>
      <w:spacing w:before="360" w:after="120" w:line="360" w:lineRule="auto"/>
      <w:ind w:left="567" w:hanging="567"/>
      <w:jc w:val="both"/>
      <w:outlineLvl w:val="0"/>
    </w:pPr>
    <w:rPr>
      <w:rFonts w:asciiTheme="majorHAnsi" w:eastAsiaTheme="majorEastAsia" w:hAnsiTheme="majorHAnsi" w:cstheme="majorBidi"/>
      <w:b/>
      <w:bCs/>
      <w:sz w:val="32"/>
      <w:szCs w:val="28"/>
    </w:rPr>
  </w:style>
  <w:style w:type="paragraph" w:styleId="Nadpis3">
    <w:name w:val="heading 3"/>
    <w:basedOn w:val="Normln"/>
    <w:next w:val="Normln"/>
    <w:link w:val="Nadpis3Char"/>
    <w:autoRedefine/>
    <w:uiPriority w:val="9"/>
    <w:unhideWhenUsed/>
    <w:qFormat/>
    <w:rsid w:val="00A31974"/>
    <w:pPr>
      <w:keepNext/>
      <w:keepLines/>
      <w:numPr>
        <w:ilvl w:val="2"/>
        <w:numId w:val="2"/>
      </w:numPr>
      <w:spacing w:before="480" w:after="120" w:line="360" w:lineRule="auto"/>
      <w:ind w:left="397" w:hanging="397"/>
      <w:jc w:val="both"/>
      <w:outlineLvl w:val="2"/>
    </w:pPr>
    <w:rPr>
      <w:rFonts w:asciiTheme="majorHAnsi" w:eastAsiaTheme="majorEastAsia" w:hAnsiTheme="majorHAnsi" w:cstheme="majorBidi"/>
      <w:b/>
      <w:bCs/>
      <w:sz w:val="24"/>
    </w:rPr>
  </w:style>
  <w:style w:type="paragraph" w:styleId="Nadpis4">
    <w:name w:val="heading 4"/>
    <w:basedOn w:val="Normln"/>
    <w:next w:val="Normln"/>
    <w:link w:val="Nadpis4Char"/>
    <w:uiPriority w:val="9"/>
    <w:semiHidden/>
    <w:unhideWhenUsed/>
    <w:rsid w:val="00A31974"/>
    <w:pPr>
      <w:keepNext/>
      <w:keepLines/>
      <w:numPr>
        <w:ilvl w:val="3"/>
        <w:numId w:val="2"/>
      </w:numPr>
      <w:spacing w:before="200" w:after="0" w:line="360" w:lineRule="auto"/>
      <w:jc w:val="both"/>
      <w:outlineLvl w:val="3"/>
    </w:pPr>
    <w:rPr>
      <w:rFonts w:asciiTheme="majorHAnsi" w:eastAsiaTheme="majorEastAsia" w:hAnsiTheme="majorHAnsi" w:cstheme="majorBidi"/>
      <w:b/>
      <w:bCs/>
      <w:i/>
      <w:iCs/>
      <w:color w:val="4F81BD" w:themeColor="accent1"/>
      <w:sz w:val="24"/>
    </w:rPr>
  </w:style>
  <w:style w:type="paragraph" w:styleId="Nadpis5">
    <w:name w:val="heading 5"/>
    <w:basedOn w:val="Normln"/>
    <w:next w:val="Normln"/>
    <w:link w:val="Nadpis5Char"/>
    <w:uiPriority w:val="9"/>
    <w:semiHidden/>
    <w:unhideWhenUsed/>
    <w:qFormat/>
    <w:rsid w:val="00A31974"/>
    <w:pPr>
      <w:keepNext/>
      <w:keepLines/>
      <w:numPr>
        <w:ilvl w:val="4"/>
        <w:numId w:val="2"/>
      </w:numPr>
      <w:spacing w:before="200" w:after="0" w:line="360" w:lineRule="auto"/>
      <w:jc w:val="both"/>
      <w:outlineLvl w:val="4"/>
    </w:pPr>
    <w:rPr>
      <w:rFonts w:asciiTheme="majorHAnsi" w:eastAsiaTheme="majorEastAsia" w:hAnsiTheme="majorHAnsi" w:cstheme="majorBidi"/>
      <w:color w:val="243F60" w:themeColor="accent1" w:themeShade="7F"/>
      <w:sz w:val="24"/>
    </w:rPr>
  </w:style>
  <w:style w:type="paragraph" w:styleId="Nadpis6">
    <w:name w:val="heading 6"/>
    <w:basedOn w:val="Normln"/>
    <w:next w:val="Normln"/>
    <w:link w:val="Nadpis6Char"/>
    <w:uiPriority w:val="9"/>
    <w:semiHidden/>
    <w:unhideWhenUsed/>
    <w:qFormat/>
    <w:rsid w:val="00A31974"/>
    <w:pPr>
      <w:keepNext/>
      <w:keepLines/>
      <w:numPr>
        <w:ilvl w:val="5"/>
        <w:numId w:val="2"/>
      </w:numPr>
      <w:spacing w:before="200" w:after="0" w:line="360" w:lineRule="auto"/>
      <w:jc w:val="both"/>
      <w:outlineLvl w:val="5"/>
    </w:pPr>
    <w:rPr>
      <w:rFonts w:asciiTheme="majorHAnsi" w:eastAsiaTheme="majorEastAsia" w:hAnsiTheme="majorHAnsi" w:cstheme="majorBidi"/>
      <w:i/>
      <w:iCs/>
      <w:color w:val="243F60" w:themeColor="accent1" w:themeShade="7F"/>
      <w:sz w:val="24"/>
    </w:rPr>
  </w:style>
  <w:style w:type="paragraph" w:styleId="Nadpis7">
    <w:name w:val="heading 7"/>
    <w:basedOn w:val="Normln"/>
    <w:next w:val="Normln"/>
    <w:link w:val="Nadpis7Char"/>
    <w:uiPriority w:val="9"/>
    <w:semiHidden/>
    <w:unhideWhenUsed/>
    <w:qFormat/>
    <w:rsid w:val="00A31974"/>
    <w:pPr>
      <w:keepNext/>
      <w:keepLines/>
      <w:numPr>
        <w:ilvl w:val="6"/>
        <w:numId w:val="2"/>
      </w:numPr>
      <w:spacing w:before="200" w:after="0" w:line="360" w:lineRule="auto"/>
      <w:jc w:val="both"/>
      <w:outlineLvl w:val="6"/>
    </w:pPr>
    <w:rPr>
      <w:rFonts w:asciiTheme="majorHAnsi" w:eastAsiaTheme="majorEastAsia" w:hAnsiTheme="majorHAnsi" w:cstheme="majorBidi"/>
      <w:i/>
      <w:iCs/>
      <w:color w:val="404040" w:themeColor="text1" w:themeTint="BF"/>
      <w:sz w:val="24"/>
    </w:rPr>
  </w:style>
  <w:style w:type="paragraph" w:styleId="Nadpis8">
    <w:name w:val="heading 8"/>
    <w:basedOn w:val="Normln"/>
    <w:next w:val="Normln"/>
    <w:link w:val="Nadpis8Char"/>
    <w:uiPriority w:val="9"/>
    <w:semiHidden/>
    <w:unhideWhenUsed/>
    <w:qFormat/>
    <w:rsid w:val="00A31974"/>
    <w:pPr>
      <w:keepNext/>
      <w:keepLines/>
      <w:numPr>
        <w:ilvl w:val="7"/>
        <w:numId w:val="2"/>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31974"/>
    <w:pPr>
      <w:keepNext/>
      <w:keepLines/>
      <w:numPr>
        <w:ilvl w:val="8"/>
        <w:numId w:val="2"/>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B27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2748"/>
    <w:rPr>
      <w:rFonts w:ascii="Tahoma" w:hAnsi="Tahoma" w:cs="Tahoma"/>
      <w:sz w:val="16"/>
      <w:szCs w:val="16"/>
    </w:rPr>
  </w:style>
  <w:style w:type="paragraph" w:styleId="Odstavecseseznamem">
    <w:name w:val="List Paragraph"/>
    <w:basedOn w:val="Normln"/>
    <w:uiPriority w:val="34"/>
    <w:qFormat/>
    <w:rsid w:val="008C7F06"/>
    <w:pPr>
      <w:ind w:left="720"/>
      <w:contextualSpacing/>
    </w:pPr>
  </w:style>
  <w:style w:type="character" w:customStyle="1" w:styleId="Nadpis1Char">
    <w:name w:val="Nadpis 1 Char"/>
    <w:basedOn w:val="Standardnpsmoodstavce"/>
    <w:link w:val="Nadpis1"/>
    <w:uiPriority w:val="9"/>
    <w:rsid w:val="00A31974"/>
    <w:rPr>
      <w:rFonts w:asciiTheme="majorHAnsi" w:eastAsiaTheme="majorEastAsia" w:hAnsiTheme="majorHAnsi" w:cstheme="majorBidi"/>
      <w:b/>
      <w:bCs/>
      <w:sz w:val="32"/>
      <w:szCs w:val="28"/>
    </w:rPr>
  </w:style>
  <w:style w:type="character" w:customStyle="1" w:styleId="Nadpis3Char">
    <w:name w:val="Nadpis 3 Char"/>
    <w:basedOn w:val="Standardnpsmoodstavce"/>
    <w:link w:val="Nadpis3"/>
    <w:uiPriority w:val="9"/>
    <w:rsid w:val="00A31974"/>
    <w:rPr>
      <w:rFonts w:asciiTheme="majorHAnsi" w:eastAsiaTheme="majorEastAsia" w:hAnsiTheme="majorHAnsi" w:cstheme="majorBidi"/>
      <w:b/>
      <w:bCs/>
      <w:sz w:val="24"/>
    </w:rPr>
  </w:style>
  <w:style w:type="character" w:customStyle="1" w:styleId="Nadpis4Char">
    <w:name w:val="Nadpis 4 Char"/>
    <w:basedOn w:val="Standardnpsmoodstavce"/>
    <w:link w:val="Nadpis4"/>
    <w:uiPriority w:val="9"/>
    <w:semiHidden/>
    <w:rsid w:val="00A31974"/>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1974"/>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A31974"/>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A31974"/>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A3197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31974"/>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A31974"/>
    <w:rPr>
      <w:color w:val="0000FF" w:themeColor="hyperlink"/>
      <w:u w:val="single"/>
    </w:rPr>
  </w:style>
  <w:style w:type="paragraph" w:styleId="Zhlav">
    <w:name w:val="header"/>
    <w:basedOn w:val="Normln"/>
    <w:link w:val="ZhlavChar"/>
    <w:uiPriority w:val="99"/>
    <w:unhideWhenUsed/>
    <w:rsid w:val="0084181B"/>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84181B"/>
  </w:style>
  <w:style w:type="paragraph" w:styleId="Zpat">
    <w:name w:val="footer"/>
    <w:basedOn w:val="Normln"/>
    <w:link w:val="ZpatChar"/>
    <w:uiPriority w:val="99"/>
    <w:unhideWhenUsed/>
    <w:rsid w:val="0084181B"/>
    <w:pPr>
      <w:tabs>
        <w:tab w:val="center" w:pos="4703"/>
        <w:tab w:val="right" w:pos="9406"/>
      </w:tabs>
      <w:spacing w:after="0" w:line="240" w:lineRule="auto"/>
    </w:pPr>
  </w:style>
  <w:style w:type="character" w:customStyle="1" w:styleId="ZpatChar">
    <w:name w:val="Zápatí Char"/>
    <w:basedOn w:val="Standardnpsmoodstavce"/>
    <w:link w:val="Zpat"/>
    <w:uiPriority w:val="99"/>
    <w:rsid w:val="0084181B"/>
  </w:style>
  <w:style w:type="table" w:styleId="Mkatabulky">
    <w:name w:val="Table Grid"/>
    <w:basedOn w:val="Normlntabulka"/>
    <w:uiPriority w:val="59"/>
    <w:unhideWhenUsed/>
    <w:rsid w:val="007A6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mailto:jiri.uhman@ujep.cz"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peak.cz/co-se-deje-na-ceskem-realitnim-trhu-aneb-hlavni-duvody-neustaleho-rustu-cen/1530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david\Desktop\V4\Index%20cen%20bytu&#778;%20\Vy&#769;voj%20indexu%20cen%20bytu&#778;%20-%20V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hman\Documents\GroupWise\Obyvatelstvo%20V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david\Desktop\V4\HDP\HDP%20-%20V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david\Desktop\V4\HDP\Vy&#769;voj%20HDP%20na%20hlavu%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david\Desktop\V4\Mzdy\Mzdy%20-%20V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hman\Documents\GroupWise\Inflace%20-%20V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hman\Documents\GroupWise\poc&#780;et%20dokonc&#780;eny&#769;%20bytu&#778;%20-%20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v>CZK </c:v>
          </c:tx>
          <c:spPr>
            <a:ln w="63500" cap="rnd">
              <a:solidFill>
                <a:srgbClr val="00B0F0"/>
              </a:solidFill>
              <a:round/>
            </a:ln>
            <a:effectLst/>
          </c:spPr>
          <c:marker>
            <c:symbol val="none"/>
          </c:marker>
          <c:cat>
            <c:numRef>
              <c:f>'Vývoj cen nemovistostí '!$C$5:$C$18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'Vývoj cen nemovistostí '!$D$5:$D$18</c:f>
              <c:numCache>
                <c:formatCode>0.00</c:formatCode>
                <c:ptCount val="14"/>
                <c:pt idx="0">
                  <c:v>100.8</c:v>
                </c:pt>
                <c:pt idx="1">
                  <c:v>96.92</c:v>
                </c:pt>
                <c:pt idx="2">
                  <c:v>95.22</c:v>
                </c:pt>
                <c:pt idx="3">
                  <c:v>95.25</c:v>
                </c:pt>
                <c:pt idx="4">
                  <c:v>93.85</c:v>
                </c:pt>
                <c:pt idx="5">
                  <c:v>93.86999999999999</c:v>
                </c:pt>
                <c:pt idx="6">
                  <c:v>96.169999999999987</c:v>
                </c:pt>
                <c:pt idx="7">
                  <c:v>100</c:v>
                </c:pt>
                <c:pt idx="8">
                  <c:v>107.14999999999999</c:v>
                </c:pt>
                <c:pt idx="9">
                  <c:v>119.7</c:v>
                </c:pt>
                <c:pt idx="10">
                  <c:v>130</c:v>
                </c:pt>
                <c:pt idx="11">
                  <c:v>141.9</c:v>
                </c:pt>
                <c:pt idx="12">
                  <c:v>153.85000000000079</c:v>
                </c:pt>
                <c:pt idx="13">
                  <c:v>184.22</c:v>
                </c:pt>
              </c:numCache>
            </c:numRef>
          </c:val>
          <c:extLst xmlns:c16r2="http://schemas.microsoft.com/office/drawing/2015/06/chart">
            <c:ext xmlns:c16="http://schemas.microsoft.com/office/drawing/2014/chart" uri="{C3380CC4-5D6E-409C-BE32-E72D297353CC}">
              <c16:uniqueId val="{00000000-02AC-CB43-BED0-655FDAF7C0C4}"/>
            </c:ext>
          </c:extLst>
        </c:ser>
        <c:ser>
          <c:idx val="1"/>
          <c:order val="1"/>
          <c:tx>
            <c:v>SVK</c:v>
          </c:tx>
          <c:spPr>
            <a:ln w="63500" cap="rnd">
              <a:solidFill>
                <a:srgbClr val="FFFF00"/>
              </a:solidFill>
              <a:round/>
            </a:ln>
            <a:effectLst/>
          </c:spPr>
          <c:marker>
            <c:symbol val="none"/>
          </c:marker>
          <c:val>
            <c:numRef>
              <c:f>'Vývoj cen nemovistostí '!$H$5:$H$18</c:f>
              <c:numCache>
                <c:formatCode>0.00</c:formatCode>
                <c:ptCount val="14"/>
                <c:pt idx="0">
                  <c:v>115.55</c:v>
                </c:pt>
                <c:pt idx="1">
                  <c:v>100.81</c:v>
                </c:pt>
                <c:pt idx="2">
                  <c:v>96.78</c:v>
                </c:pt>
                <c:pt idx="3">
                  <c:v>95.32</c:v>
                </c:pt>
                <c:pt idx="4">
                  <c:v>92.75</c:v>
                </c:pt>
                <c:pt idx="5">
                  <c:v>93.58</c:v>
                </c:pt>
                <c:pt idx="6">
                  <c:v>94.9</c:v>
                </c:pt>
                <c:pt idx="7">
                  <c:v>100</c:v>
                </c:pt>
                <c:pt idx="8">
                  <c:v>106.7</c:v>
                </c:pt>
                <c:pt idx="9">
                  <c:v>112.99000000000002</c:v>
                </c:pt>
                <c:pt idx="10">
                  <c:v>121.32</c:v>
                </c:pt>
                <c:pt idx="11">
                  <c:v>132.39000000000001</c:v>
                </c:pt>
                <c:pt idx="12">
                  <c:v>145.06</c:v>
                </c:pt>
                <c:pt idx="13">
                  <c:v>154.33000000000001</c:v>
                </c:pt>
              </c:numCache>
            </c:numRef>
          </c:val>
          <c:extLst xmlns:c16r2="http://schemas.microsoft.com/office/drawing/2015/06/chart">
            <c:ext xmlns:c16="http://schemas.microsoft.com/office/drawing/2014/chart" uri="{C3380CC4-5D6E-409C-BE32-E72D297353CC}">
              <c16:uniqueId val="{00000001-02AC-CB43-BED0-655FDAF7C0C4}"/>
            </c:ext>
          </c:extLst>
        </c:ser>
        <c:ser>
          <c:idx val="2"/>
          <c:order val="2"/>
          <c:tx>
            <c:v>PLN</c:v>
          </c:tx>
          <c:spPr>
            <a:ln w="63500" cap="rnd">
              <a:solidFill>
                <a:srgbClr val="FF0000"/>
              </a:solidFill>
              <a:round/>
            </a:ln>
            <a:effectLst/>
          </c:spPr>
          <c:marker>
            <c:symbol val="none"/>
          </c:marker>
          <c:val>
            <c:numRef>
              <c:f>'Vývoj cen nemovistostí '!$L$5:$L$18</c:f>
              <c:numCache>
                <c:formatCode>0.00</c:formatCode>
                <c:ptCount val="14"/>
                <c:pt idx="0">
                  <c:v>112.91000000000012</c:v>
                </c:pt>
                <c:pt idx="1">
                  <c:v>109.77</c:v>
                </c:pt>
                <c:pt idx="2">
                  <c:v>105.61</c:v>
                </c:pt>
                <c:pt idx="3">
                  <c:v>105.69</c:v>
                </c:pt>
                <c:pt idx="4">
                  <c:v>102</c:v>
                </c:pt>
                <c:pt idx="5">
                  <c:v>97.53</c:v>
                </c:pt>
                <c:pt idx="6">
                  <c:v>98.5</c:v>
                </c:pt>
                <c:pt idx="7">
                  <c:v>100</c:v>
                </c:pt>
                <c:pt idx="8">
                  <c:v>101.85</c:v>
                </c:pt>
                <c:pt idx="9">
                  <c:v>105.78</c:v>
                </c:pt>
                <c:pt idx="10">
                  <c:v>112.74000000000002</c:v>
                </c:pt>
                <c:pt idx="11">
                  <c:v>122.52</c:v>
                </c:pt>
                <c:pt idx="12">
                  <c:v>135.36000000000001</c:v>
                </c:pt>
                <c:pt idx="13">
                  <c:v>147.76999999999998</c:v>
                </c:pt>
              </c:numCache>
            </c:numRef>
          </c:val>
          <c:extLst xmlns:c16r2="http://schemas.microsoft.com/office/drawing/2015/06/chart">
            <c:ext xmlns:c16="http://schemas.microsoft.com/office/drawing/2014/chart" uri="{C3380CC4-5D6E-409C-BE32-E72D297353CC}">
              <c16:uniqueId val="{00000002-02AC-CB43-BED0-655FDAF7C0C4}"/>
            </c:ext>
          </c:extLst>
        </c:ser>
        <c:ser>
          <c:idx val="3"/>
          <c:order val="3"/>
          <c:tx>
            <c:v>HUN</c:v>
          </c:tx>
          <c:spPr>
            <a:ln w="63500" cap="rnd">
              <a:solidFill>
                <a:srgbClr val="92D050"/>
              </a:solidFill>
              <a:round/>
            </a:ln>
            <a:effectLst/>
          </c:spPr>
          <c:marker>
            <c:symbol val="none"/>
          </c:marker>
          <c:val>
            <c:numRef>
              <c:f>'Vývoj cen nemovistostí '!$P$5:$P$18</c:f>
              <c:numCache>
                <c:formatCode>0.00</c:formatCode>
                <c:ptCount val="14"/>
                <c:pt idx="0">
                  <c:v>101.25</c:v>
                </c:pt>
                <c:pt idx="1">
                  <c:v>95.95</c:v>
                </c:pt>
                <c:pt idx="2">
                  <c:v>93.66</c:v>
                </c:pt>
                <c:pt idx="3">
                  <c:v>90.440000000000026</c:v>
                </c:pt>
                <c:pt idx="4">
                  <c:v>87.09</c:v>
                </c:pt>
                <c:pt idx="5">
                  <c:v>84.86999999999999</c:v>
                </c:pt>
                <c:pt idx="6">
                  <c:v>88.42</c:v>
                </c:pt>
                <c:pt idx="7">
                  <c:v>100</c:v>
                </c:pt>
                <c:pt idx="8">
                  <c:v>113.36999999999999</c:v>
                </c:pt>
                <c:pt idx="9">
                  <c:v>127.24000000000002</c:v>
                </c:pt>
                <c:pt idx="10">
                  <c:v>145.49</c:v>
                </c:pt>
                <c:pt idx="11">
                  <c:v>170.16</c:v>
                </c:pt>
                <c:pt idx="12">
                  <c:v>178.57</c:v>
                </c:pt>
                <c:pt idx="13">
                  <c:v>208.03</c:v>
                </c:pt>
              </c:numCache>
            </c:numRef>
          </c:val>
          <c:extLst xmlns:c16r2="http://schemas.microsoft.com/office/drawing/2015/06/chart">
            <c:ext xmlns:c16="http://schemas.microsoft.com/office/drawing/2014/chart" uri="{C3380CC4-5D6E-409C-BE32-E72D297353CC}">
              <c16:uniqueId val="{00000003-02AC-CB43-BED0-655FDAF7C0C4}"/>
            </c:ext>
          </c:extLst>
        </c:ser>
        <c:marker val="1"/>
        <c:axId val="130212608"/>
        <c:axId val="130214528"/>
      </c:lineChart>
      <c:catAx>
        <c:axId val="130212608"/>
        <c:scaling>
          <c:orientation val="minMax"/>
        </c:scaling>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cs-CZ" sz="1200">
                    <a:solidFill>
                      <a:schemeClr val="tx1"/>
                    </a:solidFill>
                  </a:rPr>
                  <a:t>Rok</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crossAx val="130214528"/>
        <c:crosses val="autoZero"/>
        <c:auto val="1"/>
        <c:lblAlgn val="ctr"/>
        <c:lblOffset val="100"/>
      </c:catAx>
      <c:valAx>
        <c:axId val="13021452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cs-CZ" sz="1200">
                    <a:solidFill>
                      <a:schemeClr val="tx1"/>
                    </a:solidFill>
                  </a:rPr>
                  <a:t>Bazický</a:t>
                </a:r>
                <a:r>
                  <a:rPr lang="cs-CZ" sz="1200" baseline="0">
                    <a:solidFill>
                      <a:schemeClr val="tx1"/>
                    </a:solidFill>
                  </a:rPr>
                  <a:t> index</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crossAx val="13021260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v>CZE</c:v>
          </c:tx>
          <c:spPr>
            <a:ln w="57150" cap="rnd">
              <a:solidFill>
                <a:srgbClr val="00B0F0"/>
              </a:solidFill>
              <a:round/>
            </a:ln>
            <a:effectLst/>
          </c:spPr>
          <c:marker>
            <c:symbol val="none"/>
          </c:marker>
          <c:cat>
            <c:numRef>
              <c:f>'obyvateslstvo - V4'!$C$4:$C$25</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'obyvateslstvo - V4'!$F$4:$F$25</c:f>
              <c:numCache>
                <c:formatCode>0.0</c:formatCode>
                <c:ptCount val="22"/>
                <c:pt idx="0" formatCode="General">
                  <c:v>100</c:v>
                </c:pt>
                <c:pt idx="1">
                  <c:v>99.414506105558772</c:v>
                </c:pt>
                <c:pt idx="2">
                  <c:v>99.383658340399919</c:v>
                </c:pt>
                <c:pt idx="3">
                  <c:v>99.463393043775397</c:v>
                </c:pt>
                <c:pt idx="4">
                  <c:v>99.552244737420864</c:v>
                </c:pt>
                <c:pt idx="5">
                  <c:v>99.849345631919434</c:v>
                </c:pt>
                <c:pt idx="6">
                  <c:v>100.20107054504992</c:v>
                </c:pt>
                <c:pt idx="7">
                  <c:v>101.11609103977131</c:v>
                </c:pt>
                <c:pt idx="8">
                  <c:v>101.95777625697997</c:v>
                </c:pt>
                <c:pt idx="9">
                  <c:v>102.34029049302463</c:v>
                </c:pt>
                <c:pt idx="10">
                  <c:v>102.59312138668641</c:v>
                </c:pt>
                <c:pt idx="11">
                  <c:v>102.32696566108991</c:v>
                </c:pt>
                <c:pt idx="12">
                  <c:v>102.43099285777318</c:v>
                </c:pt>
                <c:pt idx="13">
                  <c:v>102.39489503090913</c:v>
                </c:pt>
                <c:pt idx="14">
                  <c:v>102.64674214677346</c:v>
                </c:pt>
                <c:pt idx="15">
                  <c:v>102.79838029265039</c:v>
                </c:pt>
                <c:pt idx="16">
                  <c:v>103.04166561957747</c:v>
                </c:pt>
                <c:pt idx="17">
                  <c:v>103.34590620837822</c:v>
                </c:pt>
                <c:pt idx="18">
                  <c:v>103.733037381803</c:v>
                </c:pt>
                <c:pt idx="19">
                  <c:v>104.16296775955551</c:v>
                </c:pt>
                <c:pt idx="20">
                  <c:v>104.23931281270161</c:v>
                </c:pt>
                <c:pt idx="21">
                  <c:v>102.43666175556999</c:v>
                </c:pt>
              </c:numCache>
            </c:numRef>
          </c:val>
          <c:extLst xmlns:c16r2="http://schemas.microsoft.com/office/drawing/2015/06/chart">
            <c:ext xmlns:c16="http://schemas.microsoft.com/office/drawing/2014/chart" uri="{C3380CC4-5D6E-409C-BE32-E72D297353CC}">
              <c16:uniqueId val="{00000000-997E-9841-8422-7FB528AF0592}"/>
            </c:ext>
          </c:extLst>
        </c:ser>
        <c:ser>
          <c:idx val="1"/>
          <c:order val="1"/>
          <c:tx>
            <c:v>SVK</c:v>
          </c:tx>
          <c:spPr>
            <a:ln w="57150" cap="rnd">
              <a:solidFill>
                <a:srgbClr val="FFFF00"/>
              </a:solidFill>
              <a:round/>
            </a:ln>
            <a:effectLst/>
          </c:spPr>
          <c:marker>
            <c:symbol val="none"/>
          </c:marker>
          <c:cat>
            <c:numRef>
              <c:f>'obyvateslstvo - V4'!$C$4:$C$25</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'obyvateslstvo - V4'!$K$4:$K$25</c:f>
              <c:numCache>
                <c:formatCode>0.0</c:formatCode>
                <c:ptCount val="22"/>
                <c:pt idx="0" formatCode="General">
                  <c:v>100</c:v>
                </c:pt>
                <c:pt idx="1">
                  <c:v>100.07205495737178</c:v>
                </c:pt>
                <c:pt idx="2">
                  <c:v>99.634983293067165</c:v>
                </c:pt>
                <c:pt idx="3">
                  <c:v>99.638873149377702</c:v>
                </c:pt>
                <c:pt idx="4">
                  <c:v>99.655395777133819</c:v>
                </c:pt>
                <c:pt idx="5">
                  <c:v>99.743732561635241</c:v>
                </c:pt>
                <c:pt idx="6">
                  <c:v>99.824456341642005</c:v>
                </c:pt>
                <c:pt idx="7">
                  <c:v>99.907013911053014</c:v>
                </c:pt>
                <c:pt idx="8">
                  <c:v>100.04336263630009</c:v>
                </c:pt>
                <c:pt idx="9">
                  <c:v>100.25185893454614</c:v>
                </c:pt>
                <c:pt idx="10">
                  <c:v>100.48656545507619</c:v>
                </c:pt>
                <c:pt idx="11">
                  <c:v>99.884952868833849</c:v>
                </c:pt>
                <c:pt idx="12">
                  <c:v>100.10493350475868</c:v>
                </c:pt>
                <c:pt idx="13">
                  <c:v>100.22559314288718</c:v>
                </c:pt>
                <c:pt idx="14">
                  <c:v>100.32030188248525</c:v>
                </c:pt>
                <c:pt idx="15">
                  <c:v>100.42032675904396</c:v>
                </c:pt>
                <c:pt idx="16">
                  <c:v>100.5111456423337</c:v>
                </c:pt>
                <c:pt idx="17">
                  <c:v>100.67953937432883</c:v>
                </c:pt>
                <c:pt idx="18">
                  <c:v>100.82359371969733</c:v>
                </c:pt>
                <c:pt idx="19">
                  <c:v>100.95883105742662</c:v>
                </c:pt>
                <c:pt idx="20">
                  <c:v>101.09686538707683</c:v>
                </c:pt>
                <c:pt idx="21">
                  <c:v>100.93751094022153</c:v>
                </c:pt>
              </c:numCache>
            </c:numRef>
          </c:val>
          <c:extLst xmlns:c16r2="http://schemas.microsoft.com/office/drawing/2015/06/chart">
            <c:ext xmlns:c16="http://schemas.microsoft.com/office/drawing/2014/chart" uri="{C3380CC4-5D6E-409C-BE32-E72D297353CC}">
              <c16:uniqueId val="{00000001-997E-9841-8422-7FB528AF0592}"/>
            </c:ext>
          </c:extLst>
        </c:ser>
        <c:ser>
          <c:idx val="2"/>
          <c:order val="2"/>
          <c:tx>
            <c:v>PLN</c:v>
          </c:tx>
          <c:spPr>
            <a:ln w="57150" cap="rnd">
              <a:solidFill>
                <a:srgbClr val="FF0000"/>
              </a:solidFill>
              <a:round/>
            </a:ln>
            <a:effectLst/>
          </c:spPr>
          <c:marker>
            <c:symbol val="none"/>
          </c:marker>
          <c:cat>
            <c:numRef>
              <c:f>'obyvateslstvo - V4'!$C$4:$C$25</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'obyvateslstvo - V4'!$P$4:$P$25</c:f>
              <c:numCache>
                <c:formatCode>0.0</c:formatCode>
                <c:ptCount val="22"/>
                <c:pt idx="0" formatCode="General">
                  <c:v>100</c:v>
                </c:pt>
                <c:pt idx="1">
                  <c:v>99.97281256160808</c:v>
                </c:pt>
                <c:pt idx="2">
                  <c:v>99.931579870108521</c:v>
                </c:pt>
                <c:pt idx="3">
                  <c:v>99.834545167146302</c:v>
                </c:pt>
                <c:pt idx="4">
                  <c:v>99.795526364058787</c:v>
                </c:pt>
                <c:pt idx="5">
                  <c:v>99.746031451460652</c:v>
                </c:pt>
                <c:pt idx="6">
                  <c:v>99.670137161102986</c:v>
                </c:pt>
                <c:pt idx="7">
                  <c:v>99.627506086722818</c:v>
                </c:pt>
                <c:pt idx="8">
                  <c:v>99.627354486335733</c:v>
                </c:pt>
                <c:pt idx="9">
                  <c:v>99.725319702018979</c:v>
                </c:pt>
                <c:pt idx="10">
                  <c:v>100.67491316140324</c:v>
                </c:pt>
                <c:pt idx="11">
                  <c:v>100.69838769721038</c:v>
                </c:pt>
                <c:pt idx="12">
                  <c:v>100.71960913760878</c:v>
                </c:pt>
                <c:pt idx="13">
                  <c:v>100.63755412117483</c:v>
                </c:pt>
                <c:pt idx="14">
                  <c:v>100.58935826706625</c:v>
                </c:pt>
                <c:pt idx="15">
                  <c:v>100.51256221578601</c:v>
                </c:pt>
                <c:pt idx="16">
                  <c:v>100.43998483734752</c:v>
                </c:pt>
                <c:pt idx="17">
                  <c:v>100.42831944893832</c:v>
                </c:pt>
                <c:pt idx="18">
                  <c:v>100.40425419438102</c:v>
                </c:pt>
                <c:pt idx="19">
                  <c:v>100.33456245089732</c:v>
                </c:pt>
                <c:pt idx="20">
                  <c:v>100.25012887666448</c:v>
                </c:pt>
                <c:pt idx="21">
                  <c:v>99.748412623058513</c:v>
                </c:pt>
              </c:numCache>
            </c:numRef>
          </c:val>
          <c:extLst xmlns:c16r2="http://schemas.microsoft.com/office/drawing/2015/06/chart">
            <c:ext xmlns:c16="http://schemas.microsoft.com/office/drawing/2014/chart" uri="{C3380CC4-5D6E-409C-BE32-E72D297353CC}">
              <c16:uniqueId val="{00000002-997E-9841-8422-7FB528AF0592}"/>
            </c:ext>
          </c:extLst>
        </c:ser>
        <c:ser>
          <c:idx val="3"/>
          <c:order val="3"/>
          <c:tx>
            <c:v>HUN</c:v>
          </c:tx>
          <c:spPr>
            <a:ln w="57150" cap="rnd">
              <a:solidFill>
                <a:srgbClr val="92D050"/>
              </a:solidFill>
              <a:round/>
            </a:ln>
            <a:effectLst/>
          </c:spPr>
          <c:marker>
            <c:symbol val="none"/>
          </c:marker>
          <c:cat>
            <c:numRef>
              <c:f>'obyvateslstvo - V4'!$C$4:$C$25</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'obyvateslstvo - V4'!$U$4:$U$25</c:f>
              <c:numCache>
                <c:formatCode>0.0</c:formatCode>
                <c:ptCount val="22"/>
                <c:pt idx="0" formatCode="General">
                  <c:v>100</c:v>
                </c:pt>
                <c:pt idx="1">
                  <c:v>99.770961902229558</c:v>
                </c:pt>
                <c:pt idx="2">
                  <c:v>99.487266874384545</c:v>
                </c:pt>
                <c:pt idx="3">
                  <c:v>99.202710027896458</c:v>
                </c:pt>
                <c:pt idx="4">
                  <c:v>98.983200902167425</c:v>
                </c:pt>
                <c:pt idx="5">
                  <c:v>98.786588730839057</c:v>
                </c:pt>
                <c:pt idx="6">
                  <c:v>98.632930384150086</c:v>
                </c:pt>
                <c:pt idx="7">
                  <c:v>98.480192616465899</c:v>
                </c:pt>
                <c:pt idx="8">
                  <c:v>98.307907235016472</c:v>
                </c:pt>
                <c:pt idx="9">
                  <c:v>98.155727690771258</c:v>
                </c:pt>
                <c:pt idx="10">
                  <c:v>97.934132572190748</c:v>
                </c:pt>
                <c:pt idx="11">
                  <c:v>97.530683926543674</c:v>
                </c:pt>
                <c:pt idx="12">
                  <c:v>97.154030005978868</c:v>
                </c:pt>
                <c:pt idx="13">
                  <c:v>96.886856433255758</c:v>
                </c:pt>
                <c:pt idx="14">
                  <c:v>96.6261856739292</c:v>
                </c:pt>
                <c:pt idx="15">
                  <c:v>96.396618732901288</c:v>
                </c:pt>
                <c:pt idx="16">
                  <c:v>96.1126201098525</c:v>
                </c:pt>
                <c:pt idx="17">
                  <c:v>95.85743365098206</c:v>
                </c:pt>
                <c:pt idx="18">
                  <c:v>95.735966189287694</c:v>
                </c:pt>
                <c:pt idx="19">
                  <c:v>95.692640215688726</c:v>
                </c:pt>
                <c:pt idx="20">
                  <c:v>95.487086675941327</c:v>
                </c:pt>
                <c:pt idx="21">
                  <c:v>95.094900433014899</c:v>
                </c:pt>
              </c:numCache>
            </c:numRef>
          </c:val>
          <c:extLst xmlns:c16r2="http://schemas.microsoft.com/office/drawing/2015/06/chart">
            <c:ext xmlns:c16="http://schemas.microsoft.com/office/drawing/2014/chart" uri="{C3380CC4-5D6E-409C-BE32-E72D297353CC}">
              <c16:uniqueId val="{00000003-997E-9841-8422-7FB528AF0592}"/>
            </c:ext>
          </c:extLst>
        </c:ser>
        <c:marker val="1"/>
        <c:axId val="130238336"/>
        <c:axId val="130239872"/>
      </c:lineChart>
      <c:catAx>
        <c:axId val="1302383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crossAx val="130239872"/>
        <c:crosses val="autoZero"/>
        <c:auto val="1"/>
        <c:lblAlgn val="ctr"/>
        <c:lblOffset val="100"/>
      </c:catAx>
      <c:valAx>
        <c:axId val="1302398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13023833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v>Česko</c:v>
          </c:tx>
          <c:spPr>
            <a:ln w="63500" cap="rnd">
              <a:solidFill>
                <a:srgbClr val="00B0F0"/>
              </a:solidFill>
              <a:round/>
            </a:ln>
            <a:effectLst/>
          </c:spPr>
          <c:marker>
            <c:symbol val="none"/>
          </c:marker>
          <c:cat>
            <c:numRef>
              <c:f>'HDP - V4'!$C$4:$C$25</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'HDP - V4'!$F$4:$F$25</c:f>
              <c:numCache>
                <c:formatCode>0.00</c:formatCode>
                <c:ptCount val="22"/>
                <c:pt idx="0">
                  <c:v>61.828166496000001</c:v>
                </c:pt>
                <c:pt idx="1">
                  <c:v>67.808032978999279</c:v>
                </c:pt>
                <c:pt idx="2">
                  <c:v>82.196001049999978</c:v>
                </c:pt>
                <c:pt idx="3">
                  <c:v>100.09046758100042</c:v>
                </c:pt>
                <c:pt idx="4">
                  <c:v>119.814434353</c:v>
                </c:pt>
                <c:pt idx="5">
                  <c:v>137.143471328</c:v>
                </c:pt>
                <c:pt idx="6">
                  <c:v>156.26409566399911</c:v>
                </c:pt>
                <c:pt idx="7">
                  <c:v>190.18380088400002</c:v>
                </c:pt>
                <c:pt idx="8">
                  <c:v>236.81648576199999</c:v>
                </c:pt>
                <c:pt idx="9">
                  <c:v>207.43429680500091</c:v>
                </c:pt>
                <c:pt idx="10">
                  <c:v>209.06994096300002</c:v>
                </c:pt>
                <c:pt idx="11">
                  <c:v>229.56273339800001</c:v>
                </c:pt>
                <c:pt idx="12">
                  <c:v>208.85771932000085</c:v>
                </c:pt>
                <c:pt idx="13">
                  <c:v>211.685616592</c:v>
                </c:pt>
                <c:pt idx="14">
                  <c:v>209.35883415600085</c:v>
                </c:pt>
                <c:pt idx="15">
                  <c:v>188.03305045900001</c:v>
                </c:pt>
                <c:pt idx="16">
                  <c:v>196.27206857600001</c:v>
                </c:pt>
                <c:pt idx="17">
                  <c:v>218.62894095100094</c:v>
                </c:pt>
                <c:pt idx="18">
                  <c:v>249.00054072899999</c:v>
                </c:pt>
                <c:pt idx="19">
                  <c:v>252.54817996400001</c:v>
                </c:pt>
                <c:pt idx="20">
                  <c:v>245.97455865399999</c:v>
                </c:pt>
                <c:pt idx="21">
                  <c:v>281.77788712100192</c:v>
                </c:pt>
              </c:numCache>
            </c:numRef>
          </c:val>
          <c:extLst xmlns:c16r2="http://schemas.microsoft.com/office/drawing/2015/06/chart">
            <c:ext xmlns:c16="http://schemas.microsoft.com/office/drawing/2014/chart" uri="{C3380CC4-5D6E-409C-BE32-E72D297353CC}">
              <c16:uniqueId val="{00000000-E9C8-6D4D-8E3B-CB5C4DAEC70A}"/>
            </c:ext>
          </c:extLst>
        </c:ser>
        <c:ser>
          <c:idx val="1"/>
          <c:order val="1"/>
          <c:tx>
            <c:v>SVK</c:v>
          </c:tx>
          <c:spPr>
            <a:ln w="63500" cap="rnd">
              <a:solidFill>
                <a:srgbClr val="FFFF00"/>
              </a:solidFill>
              <a:round/>
            </a:ln>
            <a:effectLst/>
          </c:spPr>
          <c:marker>
            <c:symbol val="none"/>
          </c:marker>
          <c:val>
            <c:numRef>
              <c:f>'HDP - V4'!$K$4:$K$25</c:f>
              <c:numCache>
                <c:formatCode>0.000</c:formatCode>
                <c:ptCount val="22"/>
                <c:pt idx="0">
                  <c:v>29.242558796000001</c:v>
                </c:pt>
                <c:pt idx="1">
                  <c:v>30.778781605999889</c:v>
                </c:pt>
                <c:pt idx="2">
                  <c:v>35.297794385000003</c:v>
                </c:pt>
                <c:pt idx="3">
                  <c:v>46.919965224000002</c:v>
                </c:pt>
                <c:pt idx="4">
                  <c:v>57.437444468999779</c:v>
                </c:pt>
                <c:pt idx="5">
                  <c:v>62.808723475999997</c:v>
                </c:pt>
                <c:pt idx="6">
                  <c:v>70.767338921999979</c:v>
                </c:pt>
                <c:pt idx="7">
                  <c:v>86.563986799000006</c:v>
                </c:pt>
                <c:pt idx="8">
                  <c:v>100.879902984</c:v>
                </c:pt>
                <c:pt idx="9">
                  <c:v>89.399303222</c:v>
                </c:pt>
                <c:pt idx="10">
                  <c:v>91.162836319999087</c:v>
                </c:pt>
                <c:pt idx="11">
                  <c:v>99.92268542399998</c:v>
                </c:pt>
                <c:pt idx="12">
                  <c:v>94.623731084999278</c:v>
                </c:pt>
                <c:pt idx="13">
                  <c:v>98.935222174000003</c:v>
                </c:pt>
                <c:pt idx="14">
                  <c:v>101.43704501900002</c:v>
                </c:pt>
                <c:pt idx="15">
                  <c:v>88.900883129999983</c:v>
                </c:pt>
                <c:pt idx="16">
                  <c:v>89.952699523999982</c:v>
                </c:pt>
                <c:pt idx="17">
                  <c:v>95.649966259999999</c:v>
                </c:pt>
                <c:pt idx="18">
                  <c:v>106.13792401500002</c:v>
                </c:pt>
                <c:pt idx="19">
                  <c:v>105.72035498800012</c:v>
                </c:pt>
                <c:pt idx="20">
                  <c:v>106.69682862499998</c:v>
                </c:pt>
                <c:pt idx="21">
                  <c:v>116.527101097</c:v>
                </c:pt>
              </c:numCache>
            </c:numRef>
          </c:val>
          <c:extLst xmlns:c16r2="http://schemas.microsoft.com/office/drawing/2015/06/chart">
            <c:ext xmlns:c16="http://schemas.microsoft.com/office/drawing/2014/chart" uri="{C3380CC4-5D6E-409C-BE32-E72D297353CC}">
              <c16:uniqueId val="{00000001-E9C8-6D4D-8E3B-CB5C4DAEC70A}"/>
            </c:ext>
          </c:extLst>
        </c:ser>
        <c:ser>
          <c:idx val="2"/>
          <c:order val="2"/>
          <c:tx>
            <c:v>PLN</c:v>
          </c:tx>
          <c:spPr>
            <a:ln w="63500" cap="rnd">
              <a:solidFill>
                <a:srgbClr val="FF0000"/>
              </a:solidFill>
              <a:round/>
            </a:ln>
            <a:effectLst/>
          </c:spPr>
          <c:marker>
            <c:symbol val="none"/>
          </c:marker>
          <c:val>
            <c:numRef>
              <c:f>'HDP - V4'!$P$4:$P$25</c:f>
              <c:numCache>
                <c:formatCode>0.00</c:formatCode>
                <c:ptCount val="22"/>
                <c:pt idx="0">
                  <c:v>172.21946112599952</c:v>
                </c:pt>
                <c:pt idx="1">
                  <c:v>190.90549353900002</c:v>
                </c:pt>
                <c:pt idx="2">
                  <c:v>199.07205882300002</c:v>
                </c:pt>
                <c:pt idx="3">
                  <c:v>217.82726080500117</c:v>
                </c:pt>
                <c:pt idx="4">
                  <c:v>255.11018153899997</c:v>
                </c:pt>
                <c:pt idx="5">
                  <c:v>306.14433626900001</c:v>
                </c:pt>
                <c:pt idx="6">
                  <c:v>344.62200309299999</c:v>
                </c:pt>
                <c:pt idx="7">
                  <c:v>429.02850536499869</c:v>
                </c:pt>
                <c:pt idx="8">
                  <c:v>533.60908185200003</c:v>
                </c:pt>
                <c:pt idx="9">
                  <c:v>439.73750841299676</c:v>
                </c:pt>
                <c:pt idx="10">
                  <c:v>475.69661393499899</c:v>
                </c:pt>
                <c:pt idx="11">
                  <c:v>524.38267854699995</c:v>
                </c:pt>
                <c:pt idx="12">
                  <c:v>495.23691079299647</c:v>
                </c:pt>
                <c:pt idx="13">
                  <c:v>515.76472821599998</c:v>
                </c:pt>
                <c:pt idx="14">
                  <c:v>539.08765255900005</c:v>
                </c:pt>
                <c:pt idx="15">
                  <c:v>477.11128796899823</c:v>
                </c:pt>
                <c:pt idx="16">
                  <c:v>470.02257279000003</c:v>
                </c:pt>
                <c:pt idx="17">
                  <c:v>524.64583388399797</c:v>
                </c:pt>
                <c:pt idx="18">
                  <c:v>588.78256776499938</c:v>
                </c:pt>
                <c:pt idx="19">
                  <c:v>596.05459186299947</c:v>
                </c:pt>
                <c:pt idx="20">
                  <c:v>599.44918839899947</c:v>
                </c:pt>
                <c:pt idx="21">
                  <c:v>679.44483285399997</c:v>
                </c:pt>
              </c:numCache>
            </c:numRef>
          </c:val>
          <c:extLst xmlns:c16r2="http://schemas.microsoft.com/office/drawing/2015/06/chart">
            <c:ext xmlns:c16="http://schemas.microsoft.com/office/drawing/2014/chart" uri="{C3380CC4-5D6E-409C-BE32-E72D297353CC}">
              <c16:uniqueId val="{00000002-E9C8-6D4D-8E3B-CB5C4DAEC70A}"/>
            </c:ext>
          </c:extLst>
        </c:ser>
        <c:ser>
          <c:idx val="3"/>
          <c:order val="3"/>
          <c:tx>
            <c:v>HUN</c:v>
          </c:tx>
          <c:spPr>
            <a:ln w="63500" cap="rnd">
              <a:solidFill>
                <a:srgbClr val="92D050"/>
              </a:solidFill>
              <a:round/>
            </a:ln>
            <a:effectLst/>
          </c:spPr>
          <c:marker>
            <c:symbol val="none"/>
          </c:marker>
          <c:val>
            <c:numRef>
              <c:f>'HDP - V4'!$U$4:$U$25</c:f>
              <c:numCache>
                <c:formatCode>0.00</c:formatCode>
                <c:ptCount val="22"/>
                <c:pt idx="0">
                  <c:v>47.218405892000163</c:v>
                </c:pt>
                <c:pt idx="1">
                  <c:v>53.749989092</c:v>
                </c:pt>
                <c:pt idx="2">
                  <c:v>67.608919143999543</c:v>
                </c:pt>
                <c:pt idx="3">
                  <c:v>85.285062817999247</c:v>
                </c:pt>
                <c:pt idx="4">
                  <c:v>104.12082025799951</c:v>
                </c:pt>
                <c:pt idx="5">
                  <c:v>113.21115829199999</c:v>
                </c:pt>
                <c:pt idx="6">
                  <c:v>115.715618613</c:v>
                </c:pt>
                <c:pt idx="7">
                  <c:v>140.18671668100001</c:v>
                </c:pt>
                <c:pt idx="8">
                  <c:v>158.32561458000001</c:v>
                </c:pt>
                <c:pt idx="9">
                  <c:v>131.06925561999995</c:v>
                </c:pt>
                <c:pt idx="10">
                  <c:v>132.17534995300088</c:v>
                </c:pt>
                <c:pt idx="11">
                  <c:v>141.94226455400002</c:v>
                </c:pt>
                <c:pt idx="12">
                  <c:v>128.81427931500085</c:v>
                </c:pt>
                <c:pt idx="13">
                  <c:v>135.68431569699999</c:v>
                </c:pt>
                <c:pt idx="14">
                  <c:v>141.03384326499992</c:v>
                </c:pt>
                <c:pt idx="15">
                  <c:v>125.17416698700002</c:v>
                </c:pt>
                <c:pt idx="16">
                  <c:v>128.60982274999998</c:v>
                </c:pt>
                <c:pt idx="17">
                  <c:v>143.11219604000001</c:v>
                </c:pt>
                <c:pt idx="18">
                  <c:v>160.56462896300002</c:v>
                </c:pt>
                <c:pt idx="19">
                  <c:v>163.98859492099999</c:v>
                </c:pt>
                <c:pt idx="20">
                  <c:v>157.18204526</c:v>
                </c:pt>
                <c:pt idx="21">
                  <c:v>181.84802223300002</c:v>
                </c:pt>
              </c:numCache>
            </c:numRef>
          </c:val>
          <c:extLst xmlns:c16r2="http://schemas.microsoft.com/office/drawing/2015/06/chart">
            <c:ext xmlns:c16="http://schemas.microsoft.com/office/drawing/2014/chart" uri="{C3380CC4-5D6E-409C-BE32-E72D297353CC}">
              <c16:uniqueId val="{00000003-E9C8-6D4D-8E3B-CB5C4DAEC70A}"/>
            </c:ext>
          </c:extLst>
        </c:ser>
        <c:marker val="1"/>
        <c:axId val="130438656"/>
        <c:axId val="130440192"/>
      </c:lineChart>
      <c:catAx>
        <c:axId val="1304386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crossAx val="130440192"/>
        <c:crosses val="autoZero"/>
        <c:auto val="1"/>
        <c:lblAlgn val="ctr"/>
        <c:lblOffset val="100"/>
      </c:catAx>
      <c:valAx>
        <c:axId val="13044019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cs-CZ" sz="1200">
                    <a:solidFill>
                      <a:schemeClr val="tx1"/>
                    </a:solidFill>
                  </a:rPr>
                  <a:t>mld.</a:t>
                </a:r>
                <a:r>
                  <a:rPr lang="cs-CZ" sz="1200" baseline="0">
                    <a:solidFill>
                      <a:schemeClr val="tx1"/>
                    </a:solidFill>
                  </a:rPr>
                  <a:t> USD</a:t>
                </a:r>
                <a:endParaRPr lang="cs-CZ" sz="1200">
                  <a:solidFill>
                    <a:schemeClr val="tx1"/>
                  </a:solidFill>
                </a:endParaRPr>
              </a:p>
            </c:rich>
          </c:tx>
          <c:spPr>
            <a:noFill/>
            <a:ln>
              <a:noFill/>
            </a:ln>
            <a:effectLst/>
          </c:spPr>
        </c:title>
        <c:numFmt formatCode="0" sourceLinked="0"/>
        <c:majorTickMark val="none"/>
        <c:tickLblPos val="nextTo"/>
        <c:spPr>
          <a:solidFill>
            <a:schemeClr val="bg1"/>
          </a:solid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crossAx val="13043865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v>CZE</c:v>
          </c:tx>
          <c:spPr>
            <a:ln w="63500" cap="rnd">
              <a:solidFill>
                <a:srgbClr val="00B0F0"/>
              </a:solidFill>
              <a:round/>
            </a:ln>
            <a:effectLst/>
          </c:spPr>
          <c:marker>
            <c:symbol val="none"/>
          </c:marker>
          <c:cat>
            <c:numRef>
              <c:f>'HDP na hlavu'!$A$4:$A$25</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'HDP na hlavu'!$G$4:$G$25</c:f>
              <c:numCache>
                <c:formatCode>#\ ##0_ ;\-#\ ##0\ </c:formatCode>
                <c:ptCount val="22"/>
                <c:pt idx="0">
                  <c:v>6022.2947908673514</c:v>
                </c:pt>
                <c:pt idx="1">
                  <c:v>6643.6543548600121</c:v>
                </c:pt>
                <c:pt idx="2">
                  <c:v>8055.8496546548304</c:v>
                </c:pt>
                <c:pt idx="3">
                  <c:v>9801.7831524498706</c:v>
                </c:pt>
                <c:pt idx="4">
                  <c:v>11722.864017657705</c:v>
                </c:pt>
                <c:pt idx="5">
                  <c:v>13378.442535463821</c:v>
                </c:pt>
                <c:pt idx="6">
                  <c:v>15190.164744129872</c:v>
                </c:pt>
                <c:pt idx="7">
                  <c:v>18320.144423969261</c:v>
                </c:pt>
                <c:pt idx="8">
                  <c:v>22623.886845832574</c:v>
                </c:pt>
                <c:pt idx="9">
                  <c:v>19742.837033932152</c:v>
                </c:pt>
                <c:pt idx="10">
                  <c:v>19849.473686694029</c:v>
                </c:pt>
                <c:pt idx="11">
                  <c:v>21851.785754720684</c:v>
                </c:pt>
                <c:pt idx="12">
                  <c:v>19860.710986223537</c:v>
                </c:pt>
                <c:pt idx="13">
                  <c:v>20136.717970621223</c:v>
                </c:pt>
                <c:pt idx="14">
                  <c:v>19866.518396606654</c:v>
                </c:pt>
                <c:pt idx="15">
                  <c:v>17816.548006162309</c:v>
                </c:pt>
                <c:pt idx="16">
                  <c:v>18553.30448726796</c:v>
                </c:pt>
                <c:pt idx="17">
                  <c:v>20605.825412874863</c:v>
                </c:pt>
                <c:pt idx="18">
                  <c:v>23380.771538338577</c:v>
                </c:pt>
                <c:pt idx="19">
                  <c:v>23616.010897761829</c:v>
                </c:pt>
                <c:pt idx="20">
                  <c:v>22984.459370999692</c:v>
                </c:pt>
                <c:pt idx="21">
                  <c:v>26793.357190706178</c:v>
                </c:pt>
              </c:numCache>
            </c:numRef>
          </c:val>
          <c:extLst xmlns:c16r2="http://schemas.microsoft.com/office/drawing/2015/06/chart">
            <c:ext xmlns:c16="http://schemas.microsoft.com/office/drawing/2014/chart" uri="{C3380CC4-5D6E-409C-BE32-E72D297353CC}">
              <c16:uniqueId val="{00000000-582A-9549-828B-E2C5F74384E2}"/>
            </c:ext>
          </c:extLst>
        </c:ser>
        <c:ser>
          <c:idx val="1"/>
          <c:order val="1"/>
          <c:tx>
            <c:v>SVK</c:v>
          </c:tx>
          <c:spPr>
            <a:ln w="60325" cap="rnd">
              <a:solidFill>
                <a:srgbClr val="FFFF00"/>
              </a:solidFill>
              <a:round/>
            </a:ln>
            <a:effectLst/>
          </c:spPr>
          <c:marker>
            <c:symbol val="none"/>
          </c:marker>
          <c:cat>
            <c:numRef>
              <c:f>'HDP na hlavu'!$A$4:$A$25</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'HDP na hlavu'!$P$4:$P$25</c:f>
              <c:numCache>
                <c:formatCode>General</c:formatCode>
                <c:ptCount val="22"/>
                <c:pt idx="0">
                  <c:v>5416.635803311824</c:v>
                </c:pt>
                <c:pt idx="1">
                  <c:v>5697.0872453307675</c:v>
                </c:pt>
                <c:pt idx="2">
                  <c:v>6562.2078329027072</c:v>
                </c:pt>
                <c:pt idx="3">
                  <c:v>8722.543389945009</c:v>
                </c:pt>
                <c:pt idx="4">
                  <c:v>10675.999747400258</c:v>
                </c:pt>
                <c:pt idx="5">
                  <c:v>11664.0296514908</c:v>
                </c:pt>
                <c:pt idx="6">
                  <c:v>13131.374146345084</c:v>
                </c:pt>
                <c:pt idx="7">
                  <c:v>16049.279326547185</c:v>
                </c:pt>
                <c:pt idx="8">
                  <c:v>18678.011542311124</c:v>
                </c:pt>
                <c:pt idx="9">
                  <c:v>16517.94302743367</c:v>
                </c:pt>
                <c:pt idx="10">
                  <c:v>16804.441779379416</c:v>
                </c:pt>
                <c:pt idx="11">
                  <c:v>18530.122587041202</c:v>
                </c:pt>
                <c:pt idx="12">
                  <c:v>17508.899559463593</c:v>
                </c:pt>
                <c:pt idx="13">
                  <c:v>18284.646249488851</c:v>
                </c:pt>
                <c:pt idx="14">
                  <c:v>18729.32057133464</c:v>
                </c:pt>
                <c:pt idx="15">
                  <c:v>16398.295540464191</c:v>
                </c:pt>
                <c:pt idx="16">
                  <c:v>16577.316999652798</c:v>
                </c:pt>
                <c:pt idx="17">
                  <c:v>17597.779249626012</c:v>
                </c:pt>
                <c:pt idx="18">
                  <c:v>19499.464280596421</c:v>
                </c:pt>
                <c:pt idx="19">
                  <c:v>19396.731919974616</c:v>
                </c:pt>
                <c:pt idx="20">
                  <c:v>19549.159283295892</c:v>
                </c:pt>
                <c:pt idx="21">
                  <c:v>21383.983744061265</c:v>
                </c:pt>
              </c:numCache>
            </c:numRef>
          </c:val>
          <c:extLst xmlns:c16r2="http://schemas.microsoft.com/office/drawing/2015/06/chart">
            <c:ext xmlns:c16="http://schemas.microsoft.com/office/drawing/2014/chart" uri="{C3380CC4-5D6E-409C-BE32-E72D297353CC}">
              <c16:uniqueId val="{00000001-582A-9549-828B-E2C5F74384E2}"/>
            </c:ext>
          </c:extLst>
        </c:ser>
        <c:ser>
          <c:idx val="2"/>
          <c:order val="2"/>
          <c:tx>
            <c:v>PLN</c:v>
          </c:tx>
          <c:spPr>
            <a:ln w="63500" cap="rnd">
              <a:solidFill>
                <a:srgbClr val="FF0000"/>
              </a:solidFill>
              <a:round/>
            </a:ln>
            <a:effectLst/>
          </c:spPr>
          <c:marker>
            <c:symbol val="none"/>
          </c:marker>
          <c:cat>
            <c:numRef>
              <c:f>'HDP na hlavu'!$A$4:$A$25</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'HDP na hlavu'!$X$4:$X$25</c:f>
              <c:numCache>
                <c:formatCode>General</c:formatCode>
                <c:ptCount val="22"/>
                <c:pt idx="0">
                  <c:v>4501.4718927589265</c:v>
                </c:pt>
                <c:pt idx="1">
                  <c:v>4991.2443579906721</c:v>
                </c:pt>
                <c:pt idx="2">
                  <c:v>5206.9076047240787</c:v>
                </c:pt>
                <c:pt idx="3">
                  <c:v>5703.0043558902462</c:v>
                </c:pt>
                <c:pt idx="4">
                  <c:v>6681.7317388108186</c:v>
                </c:pt>
                <c:pt idx="5">
                  <c:v>8022.3742896110534</c:v>
                </c:pt>
                <c:pt idx="6">
                  <c:v>9037.5406402560329</c:v>
                </c:pt>
                <c:pt idx="7">
                  <c:v>11255.873565138732</c:v>
                </c:pt>
                <c:pt idx="8">
                  <c:v>13999.642035350656</c:v>
                </c:pt>
                <c:pt idx="9">
                  <c:v>11525.516341759312</c:v>
                </c:pt>
                <c:pt idx="10">
                  <c:v>12350.402547192016</c:v>
                </c:pt>
                <c:pt idx="11">
                  <c:v>13611.253965135456</c:v>
                </c:pt>
                <c:pt idx="12">
                  <c:v>12852.01698678003</c:v>
                </c:pt>
                <c:pt idx="13">
                  <c:v>13395.652785244845</c:v>
                </c:pt>
                <c:pt idx="14">
                  <c:v>14008.113889094097</c:v>
                </c:pt>
                <c:pt idx="15">
                  <c:v>12407.139477210803</c:v>
                </c:pt>
                <c:pt idx="16">
                  <c:v>12231.631640035534</c:v>
                </c:pt>
                <c:pt idx="17">
                  <c:v>13654.705880895455</c:v>
                </c:pt>
                <c:pt idx="18">
                  <c:v>15327.634842989586</c:v>
                </c:pt>
                <c:pt idx="19">
                  <c:v>15527.723666611138</c:v>
                </c:pt>
                <c:pt idx="20">
                  <c:v>15629.30814331468</c:v>
                </c:pt>
                <c:pt idx="21">
                  <c:v>17804.120453095096</c:v>
                </c:pt>
              </c:numCache>
            </c:numRef>
          </c:val>
          <c:extLst xmlns:c16r2="http://schemas.microsoft.com/office/drawing/2015/06/chart">
            <c:ext xmlns:c16="http://schemas.microsoft.com/office/drawing/2014/chart" uri="{C3380CC4-5D6E-409C-BE32-E72D297353CC}">
              <c16:uniqueId val="{00000002-582A-9549-828B-E2C5F74384E2}"/>
            </c:ext>
          </c:extLst>
        </c:ser>
        <c:ser>
          <c:idx val="3"/>
          <c:order val="3"/>
          <c:tx>
            <c:v>HUN</c:v>
          </c:tx>
          <c:spPr>
            <a:ln w="63500" cap="rnd">
              <a:solidFill>
                <a:srgbClr val="92D050"/>
              </a:solidFill>
              <a:round/>
            </a:ln>
            <a:effectLst/>
          </c:spPr>
          <c:marker>
            <c:symbol val="none"/>
          </c:marker>
          <c:cat>
            <c:numRef>
              <c:f>'HDP na hlavu'!$A$4:$A$25</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'HDP na hlavu'!$AF$4:$AF$25</c:f>
              <c:numCache>
                <c:formatCode>General</c:formatCode>
                <c:ptCount val="22"/>
                <c:pt idx="0">
                  <c:v>4624.2843739058935</c:v>
                </c:pt>
                <c:pt idx="1">
                  <c:v>5276.0321532752923</c:v>
                </c:pt>
                <c:pt idx="2">
                  <c:v>6655.3316983327441</c:v>
                </c:pt>
                <c:pt idx="3">
                  <c:v>8419.4292086305086</c:v>
                </c:pt>
                <c:pt idx="4">
                  <c:v>10301.709510108696</c:v>
                </c:pt>
                <c:pt idx="5">
                  <c:v>11223.400415819759</c:v>
                </c:pt>
                <c:pt idx="6">
                  <c:v>11489.556302149042</c:v>
                </c:pt>
                <c:pt idx="7">
                  <c:v>13940.912048873848</c:v>
                </c:pt>
                <c:pt idx="8">
                  <c:v>15772.333226341892</c:v>
                </c:pt>
                <c:pt idx="9">
                  <c:v>13077.309379448283</c:v>
                </c:pt>
                <c:pt idx="10">
                  <c:v>13217.508560282879</c:v>
                </c:pt>
                <c:pt idx="11">
                  <c:v>14252.914255137031</c:v>
                </c:pt>
                <c:pt idx="12">
                  <c:v>12984.833955185515</c:v>
                </c:pt>
                <c:pt idx="13">
                  <c:v>13715.068972634705</c:v>
                </c:pt>
                <c:pt idx="14">
                  <c:v>14294.261315551079</c:v>
                </c:pt>
                <c:pt idx="15">
                  <c:v>12717.04247291872</c:v>
                </c:pt>
                <c:pt idx="16">
                  <c:v>13104.695539832484</c:v>
                </c:pt>
                <c:pt idx="17">
                  <c:v>14621.235114250971</c:v>
                </c:pt>
                <c:pt idx="18">
                  <c:v>16425.097939392956</c:v>
                </c:pt>
                <c:pt idx="19">
                  <c:v>16782.950746289422</c:v>
                </c:pt>
                <c:pt idx="20">
                  <c:v>16120.982435865366</c:v>
                </c:pt>
                <c:pt idx="21">
                  <c:v>18727.70529027126</c:v>
                </c:pt>
              </c:numCache>
            </c:numRef>
          </c:val>
          <c:extLst xmlns:c16r2="http://schemas.microsoft.com/office/drawing/2015/06/chart">
            <c:ext xmlns:c16="http://schemas.microsoft.com/office/drawing/2014/chart" uri="{C3380CC4-5D6E-409C-BE32-E72D297353CC}">
              <c16:uniqueId val="{00000003-582A-9549-828B-E2C5F74384E2}"/>
            </c:ext>
          </c:extLst>
        </c:ser>
        <c:marker val="1"/>
        <c:axId val="130617728"/>
        <c:axId val="130619648"/>
      </c:lineChart>
      <c:catAx>
        <c:axId val="130617728"/>
        <c:scaling>
          <c:orientation val="minMax"/>
        </c:scaling>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cs-CZ" sz="1200">
                    <a:solidFill>
                      <a:schemeClr val="tx1"/>
                    </a:solidFill>
                  </a:rPr>
                  <a:t>Rok</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crossAx val="130619648"/>
        <c:crosses val="autoZero"/>
        <c:auto val="1"/>
        <c:lblAlgn val="ctr"/>
        <c:lblOffset val="100"/>
      </c:catAx>
      <c:valAx>
        <c:axId val="13061964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cs-CZ" sz="1200">
                    <a:solidFill>
                      <a:schemeClr val="tx1"/>
                    </a:solidFill>
                  </a:rPr>
                  <a:t>$</a:t>
                </a:r>
              </a:p>
            </c:rich>
          </c:tx>
          <c:spPr>
            <a:noFill/>
            <a:ln>
              <a:noFill/>
            </a:ln>
            <a:effectLst/>
          </c:spPr>
        </c:title>
        <c:numFmt formatCode="#\ ##0_ ;\-#\ ##0\ "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crossAx val="130617728"/>
        <c:crosses val="autoZero"/>
        <c:crossBetween val="between"/>
      </c:valAx>
      <c:spPr>
        <a:noFill/>
        <a:ln w="25400">
          <a:noFill/>
        </a:ln>
        <a:effectLst/>
      </c:spPr>
    </c:plotArea>
    <c:legend>
      <c:legendPos val="r"/>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cs-CZ" sz="1200">
                <a:solidFill>
                  <a:schemeClr val="tx1"/>
                </a:solidFill>
              </a:rPr>
              <a:t>V4</a:t>
            </a:r>
          </a:p>
        </c:rich>
      </c:tx>
      <c:spPr>
        <a:noFill/>
        <a:ln>
          <a:noFill/>
        </a:ln>
        <a:effectLst/>
      </c:spPr>
    </c:title>
    <c:plotArea>
      <c:layout/>
      <c:lineChart>
        <c:grouping val="standard"/>
        <c:ser>
          <c:idx val="0"/>
          <c:order val="0"/>
          <c:tx>
            <c:v>CZE</c:v>
          </c:tx>
          <c:spPr>
            <a:ln w="63500" cap="rnd">
              <a:solidFill>
                <a:srgbClr val="00B0F0"/>
              </a:solidFill>
              <a:round/>
            </a:ln>
            <a:effectLst/>
          </c:spPr>
          <c:marker>
            <c:symbol val="none"/>
          </c:marker>
          <c:cat>
            <c:numRef>
              <c:f>'MZDY OECD'!$C$5:$C$26</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'MZDY OECD'!$D$5:$D$26</c:f>
              <c:numCache>
                <c:formatCode>#,##0</c:formatCode>
                <c:ptCount val="22"/>
                <c:pt idx="0">
                  <c:v>17381</c:v>
                </c:pt>
                <c:pt idx="1">
                  <c:v>18277</c:v>
                </c:pt>
                <c:pt idx="2">
                  <c:v>19382</c:v>
                </c:pt>
                <c:pt idx="3">
                  <c:v>20860</c:v>
                </c:pt>
                <c:pt idx="4">
                  <c:v>21799</c:v>
                </c:pt>
                <c:pt idx="5">
                  <c:v>22440</c:v>
                </c:pt>
                <c:pt idx="6">
                  <c:v>23340</c:v>
                </c:pt>
                <c:pt idx="7">
                  <c:v>24036</c:v>
                </c:pt>
                <c:pt idx="8">
                  <c:v>24165</c:v>
                </c:pt>
                <c:pt idx="9">
                  <c:v>24068</c:v>
                </c:pt>
                <c:pt idx="10">
                  <c:v>24808</c:v>
                </c:pt>
                <c:pt idx="11">
                  <c:v>25010</c:v>
                </c:pt>
                <c:pt idx="12">
                  <c:v>25056</c:v>
                </c:pt>
                <c:pt idx="13">
                  <c:v>24900</c:v>
                </c:pt>
                <c:pt idx="14">
                  <c:v>25425</c:v>
                </c:pt>
                <c:pt idx="15">
                  <c:v>26172</c:v>
                </c:pt>
                <c:pt idx="16">
                  <c:v>27097</c:v>
                </c:pt>
                <c:pt idx="17">
                  <c:v>28482</c:v>
                </c:pt>
                <c:pt idx="18">
                  <c:v>29990</c:v>
                </c:pt>
                <c:pt idx="19">
                  <c:v>31236</c:v>
                </c:pt>
                <c:pt idx="20">
                  <c:v>30912</c:v>
                </c:pt>
                <c:pt idx="21">
                  <c:v>31710</c:v>
                </c:pt>
              </c:numCache>
            </c:numRef>
          </c:val>
          <c:extLst xmlns:c16r2="http://schemas.microsoft.com/office/drawing/2015/06/chart">
            <c:ext xmlns:c16="http://schemas.microsoft.com/office/drawing/2014/chart" uri="{C3380CC4-5D6E-409C-BE32-E72D297353CC}">
              <c16:uniqueId val="{00000000-CFDB-7443-AADD-6187884D6189}"/>
            </c:ext>
          </c:extLst>
        </c:ser>
        <c:ser>
          <c:idx val="1"/>
          <c:order val="1"/>
          <c:tx>
            <c:v>SVK</c:v>
          </c:tx>
          <c:spPr>
            <a:ln w="63500" cap="rnd">
              <a:solidFill>
                <a:srgbClr val="FFFF00"/>
              </a:solidFill>
              <a:round/>
            </a:ln>
            <a:effectLst/>
          </c:spPr>
          <c:marker>
            <c:symbol val="none"/>
          </c:marker>
          <c:val>
            <c:numRef>
              <c:f>'MZDY OECD'!$I$5:$I$26</c:f>
              <c:numCache>
                <c:formatCode>#,##0</c:formatCode>
                <c:ptCount val="22"/>
                <c:pt idx="0">
                  <c:v>14786</c:v>
                </c:pt>
                <c:pt idx="1">
                  <c:v>14785</c:v>
                </c:pt>
                <c:pt idx="2">
                  <c:v>15547</c:v>
                </c:pt>
                <c:pt idx="3">
                  <c:v>15848</c:v>
                </c:pt>
                <c:pt idx="4">
                  <c:v>16077</c:v>
                </c:pt>
                <c:pt idx="5">
                  <c:v>17064</c:v>
                </c:pt>
                <c:pt idx="6">
                  <c:v>17654</c:v>
                </c:pt>
                <c:pt idx="7">
                  <c:v>18737</c:v>
                </c:pt>
                <c:pt idx="8">
                  <c:v>18931</c:v>
                </c:pt>
                <c:pt idx="9">
                  <c:v>19575</c:v>
                </c:pt>
                <c:pt idx="10">
                  <c:v>20427</c:v>
                </c:pt>
                <c:pt idx="11">
                  <c:v>20248</c:v>
                </c:pt>
                <c:pt idx="12">
                  <c:v>19996</c:v>
                </c:pt>
                <c:pt idx="13">
                  <c:v>20149</c:v>
                </c:pt>
                <c:pt idx="14">
                  <c:v>20553</c:v>
                </c:pt>
                <c:pt idx="15">
                  <c:v>21360</c:v>
                </c:pt>
                <c:pt idx="16">
                  <c:v>22039</c:v>
                </c:pt>
                <c:pt idx="17">
                  <c:v>22692</c:v>
                </c:pt>
                <c:pt idx="18">
                  <c:v>23333</c:v>
                </c:pt>
                <c:pt idx="19">
                  <c:v>24095</c:v>
                </c:pt>
                <c:pt idx="20">
                  <c:v>24406</c:v>
                </c:pt>
                <c:pt idx="21">
                  <c:v>24804</c:v>
                </c:pt>
              </c:numCache>
            </c:numRef>
          </c:val>
          <c:extLst xmlns:c16r2="http://schemas.microsoft.com/office/drawing/2015/06/chart">
            <c:ext xmlns:c16="http://schemas.microsoft.com/office/drawing/2014/chart" uri="{C3380CC4-5D6E-409C-BE32-E72D297353CC}">
              <c16:uniqueId val="{00000001-CFDB-7443-AADD-6187884D6189}"/>
            </c:ext>
          </c:extLst>
        </c:ser>
        <c:ser>
          <c:idx val="2"/>
          <c:order val="2"/>
          <c:tx>
            <c:v>PLN</c:v>
          </c:tx>
          <c:spPr>
            <a:ln w="63500" cap="rnd">
              <a:solidFill>
                <a:srgbClr val="FF0000"/>
              </a:solidFill>
              <a:round/>
            </a:ln>
            <a:effectLst/>
          </c:spPr>
          <c:marker>
            <c:symbol val="none"/>
          </c:marker>
          <c:val>
            <c:numRef>
              <c:f>'MZDY OECD'!$N$5:$N$26</c:f>
              <c:numCache>
                <c:formatCode>#,##0</c:formatCode>
                <c:ptCount val="22"/>
                <c:pt idx="0">
                  <c:v>21858</c:v>
                </c:pt>
                <c:pt idx="1">
                  <c:v>23107</c:v>
                </c:pt>
                <c:pt idx="2">
                  <c:v>23012</c:v>
                </c:pt>
                <c:pt idx="3">
                  <c:v>23290</c:v>
                </c:pt>
                <c:pt idx="4">
                  <c:v>22773</c:v>
                </c:pt>
                <c:pt idx="5">
                  <c:v>22731</c:v>
                </c:pt>
                <c:pt idx="6">
                  <c:v>22880</c:v>
                </c:pt>
                <c:pt idx="7">
                  <c:v>23615</c:v>
                </c:pt>
                <c:pt idx="8">
                  <c:v>24874</c:v>
                </c:pt>
                <c:pt idx="9">
                  <c:v>24810</c:v>
                </c:pt>
                <c:pt idx="10">
                  <c:v>25511</c:v>
                </c:pt>
                <c:pt idx="11">
                  <c:v>25480</c:v>
                </c:pt>
                <c:pt idx="12">
                  <c:v>25217</c:v>
                </c:pt>
                <c:pt idx="13">
                  <c:v>25486</c:v>
                </c:pt>
                <c:pt idx="14">
                  <c:v>26025</c:v>
                </c:pt>
                <c:pt idx="15">
                  <c:v>26709</c:v>
                </c:pt>
                <c:pt idx="16">
                  <c:v>28050</c:v>
                </c:pt>
                <c:pt idx="17">
                  <c:v>29236</c:v>
                </c:pt>
                <c:pt idx="18">
                  <c:v>31213</c:v>
                </c:pt>
                <c:pt idx="19">
                  <c:v>32695</c:v>
                </c:pt>
                <c:pt idx="20">
                  <c:v>33330</c:v>
                </c:pt>
                <c:pt idx="21">
                  <c:v>33566</c:v>
                </c:pt>
              </c:numCache>
            </c:numRef>
          </c:val>
          <c:extLst xmlns:c16r2="http://schemas.microsoft.com/office/drawing/2015/06/chart">
            <c:ext xmlns:c16="http://schemas.microsoft.com/office/drawing/2014/chart" uri="{C3380CC4-5D6E-409C-BE32-E72D297353CC}">
              <c16:uniqueId val="{00000002-CFDB-7443-AADD-6187884D6189}"/>
            </c:ext>
          </c:extLst>
        </c:ser>
        <c:ser>
          <c:idx val="3"/>
          <c:order val="3"/>
          <c:tx>
            <c:v>HUN</c:v>
          </c:tx>
          <c:spPr>
            <a:ln w="63500" cap="rnd">
              <a:solidFill>
                <a:srgbClr val="92D050"/>
              </a:solidFill>
              <a:round/>
            </a:ln>
            <a:effectLst/>
          </c:spPr>
          <c:marker>
            <c:symbol val="none"/>
          </c:marker>
          <c:val>
            <c:numRef>
              <c:f>'MZDY OECD'!$S$5:$S$26</c:f>
              <c:numCache>
                <c:formatCode>#,##0</c:formatCode>
                <c:ptCount val="22"/>
                <c:pt idx="0">
                  <c:v>16462</c:v>
                </c:pt>
                <c:pt idx="1">
                  <c:v>17713</c:v>
                </c:pt>
                <c:pt idx="2">
                  <c:v>18599</c:v>
                </c:pt>
                <c:pt idx="3">
                  <c:v>20088</c:v>
                </c:pt>
                <c:pt idx="4">
                  <c:v>21490</c:v>
                </c:pt>
                <c:pt idx="5">
                  <c:v>22438</c:v>
                </c:pt>
                <c:pt idx="6">
                  <c:v>22874</c:v>
                </c:pt>
                <c:pt idx="7">
                  <c:v>22705</c:v>
                </c:pt>
                <c:pt idx="8">
                  <c:v>23021</c:v>
                </c:pt>
                <c:pt idx="9">
                  <c:v>21704</c:v>
                </c:pt>
                <c:pt idx="10">
                  <c:v>21991</c:v>
                </c:pt>
                <c:pt idx="11">
                  <c:v>22275</c:v>
                </c:pt>
                <c:pt idx="12">
                  <c:v>21533</c:v>
                </c:pt>
                <c:pt idx="13">
                  <c:v>21310</c:v>
                </c:pt>
                <c:pt idx="14">
                  <c:v>21030</c:v>
                </c:pt>
                <c:pt idx="15">
                  <c:v>21193</c:v>
                </c:pt>
                <c:pt idx="16">
                  <c:v>21385</c:v>
                </c:pt>
                <c:pt idx="17">
                  <c:v>22932</c:v>
                </c:pt>
                <c:pt idx="18">
                  <c:v>24056</c:v>
                </c:pt>
                <c:pt idx="19">
                  <c:v>24852</c:v>
                </c:pt>
                <c:pt idx="20">
                  <c:v>25274</c:v>
                </c:pt>
                <c:pt idx="21">
                  <c:v>26268</c:v>
                </c:pt>
              </c:numCache>
            </c:numRef>
          </c:val>
          <c:extLst xmlns:c16r2="http://schemas.microsoft.com/office/drawing/2015/06/chart">
            <c:ext xmlns:c16="http://schemas.microsoft.com/office/drawing/2014/chart" uri="{C3380CC4-5D6E-409C-BE32-E72D297353CC}">
              <c16:uniqueId val="{00000003-CFDB-7443-AADD-6187884D6189}"/>
            </c:ext>
          </c:extLst>
        </c:ser>
        <c:marker val="1"/>
        <c:axId val="130745472"/>
        <c:axId val="130747392"/>
      </c:lineChart>
      <c:catAx>
        <c:axId val="130745472"/>
        <c:scaling>
          <c:orientation val="minMax"/>
        </c:scaling>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cs-CZ" sz="1200">
                    <a:solidFill>
                      <a:schemeClr val="tx1"/>
                    </a:solidFill>
                  </a:rPr>
                  <a:t>Rok</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crossAx val="130747392"/>
        <c:crosses val="autoZero"/>
        <c:auto val="1"/>
        <c:lblAlgn val="ctr"/>
        <c:lblOffset val="100"/>
      </c:catAx>
      <c:valAx>
        <c:axId val="13074739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cs-CZ" sz="1200">
                    <a:solidFill>
                      <a:schemeClr val="tx1"/>
                    </a:solidFill>
                  </a:rPr>
                  <a:t>$</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crossAx val="130745472"/>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2000"/>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v>CZK</c:v>
          </c:tx>
          <c:spPr>
            <a:ln w="57150" cap="rnd">
              <a:solidFill>
                <a:srgbClr val="00B0F0"/>
              </a:solidFill>
              <a:round/>
            </a:ln>
            <a:effectLst/>
          </c:spPr>
          <c:marker>
            <c:symbol val="none"/>
          </c:marker>
          <c:cat>
            <c:numRef>
              <c:f>'Inflace V4'!$C$5:$C$26</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'Inflace V4'!$D$5:$D$26</c:f>
              <c:numCache>
                <c:formatCode>0.00</c:formatCode>
                <c:ptCount val="22"/>
                <c:pt idx="0">
                  <c:v>3.9000000000000057</c:v>
                </c:pt>
                <c:pt idx="1">
                  <c:v>4.7</c:v>
                </c:pt>
                <c:pt idx="2">
                  <c:v>1.8</c:v>
                </c:pt>
                <c:pt idx="3">
                  <c:v>9.9999999999995107E-2</c:v>
                </c:pt>
                <c:pt idx="4">
                  <c:v>2.8</c:v>
                </c:pt>
                <c:pt idx="5">
                  <c:v>1.9000000000000061</c:v>
                </c:pt>
                <c:pt idx="6">
                  <c:v>2.5</c:v>
                </c:pt>
                <c:pt idx="7">
                  <c:v>2.8</c:v>
                </c:pt>
                <c:pt idx="8">
                  <c:v>6.3</c:v>
                </c:pt>
                <c:pt idx="9">
                  <c:v>1</c:v>
                </c:pt>
                <c:pt idx="10">
                  <c:v>1.5</c:v>
                </c:pt>
                <c:pt idx="11">
                  <c:v>1.9000000000000001</c:v>
                </c:pt>
                <c:pt idx="12">
                  <c:v>3.3</c:v>
                </c:pt>
                <c:pt idx="13">
                  <c:v>1.4</c:v>
                </c:pt>
                <c:pt idx="14">
                  <c:v>0.4</c:v>
                </c:pt>
                <c:pt idx="15">
                  <c:v>0.30000000000000032</c:v>
                </c:pt>
                <c:pt idx="16">
                  <c:v>0.70000000000000062</c:v>
                </c:pt>
                <c:pt idx="17">
                  <c:v>2.5</c:v>
                </c:pt>
                <c:pt idx="18">
                  <c:v>2.1</c:v>
                </c:pt>
                <c:pt idx="19">
                  <c:v>2.8</c:v>
                </c:pt>
                <c:pt idx="20">
                  <c:v>3.2</c:v>
                </c:pt>
                <c:pt idx="21">
                  <c:v>3.8</c:v>
                </c:pt>
              </c:numCache>
            </c:numRef>
          </c:val>
          <c:extLst xmlns:c16r2="http://schemas.microsoft.com/office/drawing/2015/06/chart">
            <c:ext xmlns:c16="http://schemas.microsoft.com/office/drawing/2014/chart" uri="{C3380CC4-5D6E-409C-BE32-E72D297353CC}">
              <c16:uniqueId val="{00000000-E6E5-3141-8AB4-82C3DAD7E801}"/>
            </c:ext>
          </c:extLst>
        </c:ser>
        <c:ser>
          <c:idx val="1"/>
          <c:order val="1"/>
          <c:tx>
            <c:v>PLN</c:v>
          </c:tx>
          <c:spPr>
            <a:ln w="57150" cap="rnd">
              <a:solidFill>
                <a:srgbClr val="FF0000"/>
              </a:solidFill>
              <a:round/>
            </a:ln>
            <a:effectLst/>
          </c:spPr>
          <c:marker>
            <c:symbol val="none"/>
          </c:marker>
          <c:val>
            <c:numRef>
              <c:f>'Inflace V4'!$L$5:$L$26</c:f>
              <c:numCache>
                <c:formatCode>0.00</c:formatCode>
                <c:ptCount val="22"/>
                <c:pt idx="0">
                  <c:v>10.091670000000001</c:v>
                </c:pt>
                <c:pt idx="1">
                  <c:v>5.4749999999999996</c:v>
                </c:pt>
                <c:pt idx="2">
                  <c:v>1.941667</c:v>
                </c:pt>
                <c:pt idx="3">
                  <c:v>0.84166660000000004</c:v>
                </c:pt>
                <c:pt idx="4">
                  <c:v>3.4916669999999792</c:v>
                </c:pt>
                <c:pt idx="5">
                  <c:v>2.1333329999999999</c:v>
                </c:pt>
                <c:pt idx="6">
                  <c:v>1.0333329999999998</c:v>
                </c:pt>
                <c:pt idx="7">
                  <c:v>2.4916669999999792</c:v>
                </c:pt>
                <c:pt idx="8">
                  <c:v>4.2166670000000348</c:v>
                </c:pt>
                <c:pt idx="9">
                  <c:v>3.4499999999999997</c:v>
                </c:pt>
                <c:pt idx="10">
                  <c:v>2.5833330000000205</c:v>
                </c:pt>
                <c:pt idx="11">
                  <c:v>4.2666670000000124</c:v>
                </c:pt>
                <c:pt idx="12">
                  <c:v>3.7</c:v>
                </c:pt>
                <c:pt idx="13">
                  <c:v>0.9</c:v>
                </c:pt>
                <c:pt idx="14">
                  <c:v>-2.5000000000000001E-2</c:v>
                </c:pt>
                <c:pt idx="15">
                  <c:v>-0.93333329999999959</c:v>
                </c:pt>
                <c:pt idx="16">
                  <c:v>-0.58333329999999517</c:v>
                </c:pt>
                <c:pt idx="17">
                  <c:v>1.9750000000000001</c:v>
                </c:pt>
                <c:pt idx="18">
                  <c:v>1.6666669999999999</c:v>
                </c:pt>
                <c:pt idx="19">
                  <c:v>2.3083330000000002</c:v>
                </c:pt>
                <c:pt idx="20">
                  <c:v>3.4</c:v>
                </c:pt>
                <c:pt idx="21">
                  <c:v>5.0999999999999996</c:v>
                </c:pt>
              </c:numCache>
            </c:numRef>
          </c:val>
          <c:extLst xmlns:c16r2="http://schemas.microsoft.com/office/drawing/2015/06/chart">
            <c:ext xmlns:c16="http://schemas.microsoft.com/office/drawing/2014/chart" uri="{C3380CC4-5D6E-409C-BE32-E72D297353CC}">
              <c16:uniqueId val="{00000001-E6E5-3141-8AB4-82C3DAD7E801}"/>
            </c:ext>
          </c:extLst>
        </c:ser>
        <c:ser>
          <c:idx val="2"/>
          <c:order val="2"/>
          <c:tx>
            <c:v>SVK</c:v>
          </c:tx>
          <c:spPr>
            <a:ln w="57150" cap="rnd">
              <a:solidFill>
                <a:srgbClr val="FFFF00"/>
              </a:solidFill>
              <a:round/>
            </a:ln>
            <a:effectLst/>
          </c:spPr>
          <c:marker>
            <c:symbol val="none"/>
          </c:marker>
          <c:val>
            <c:numRef>
              <c:f>'Inflace V4'!$H$5:$H$26</c:f>
              <c:numCache>
                <c:formatCode>0.00</c:formatCode>
                <c:ptCount val="22"/>
                <c:pt idx="0">
                  <c:v>12.035780000000004</c:v>
                </c:pt>
                <c:pt idx="1">
                  <c:v>7.329631</c:v>
                </c:pt>
                <c:pt idx="2">
                  <c:v>3.1271330000000215</c:v>
                </c:pt>
                <c:pt idx="3">
                  <c:v>8.5541430000000016</c:v>
                </c:pt>
                <c:pt idx="4">
                  <c:v>7.5485009999999955</c:v>
                </c:pt>
                <c:pt idx="5">
                  <c:v>2.709085</c:v>
                </c:pt>
                <c:pt idx="6">
                  <c:v>4.4833309999999997</c:v>
                </c:pt>
                <c:pt idx="7">
                  <c:v>2.7567240000000002</c:v>
                </c:pt>
                <c:pt idx="8">
                  <c:v>4.5981799999999975</c:v>
                </c:pt>
                <c:pt idx="9">
                  <c:v>1.615105</c:v>
                </c:pt>
                <c:pt idx="10">
                  <c:v>0.95701809999999998</c:v>
                </c:pt>
                <c:pt idx="11">
                  <c:v>3.9192859999999792</c:v>
                </c:pt>
                <c:pt idx="12">
                  <c:v>3.6061030000000001</c:v>
                </c:pt>
                <c:pt idx="13">
                  <c:v>1.4004739999999998</c:v>
                </c:pt>
                <c:pt idx="14">
                  <c:v>-7.6165330000000003E-2</c:v>
                </c:pt>
                <c:pt idx="15">
                  <c:v>-0.32521980000000189</c:v>
                </c:pt>
                <c:pt idx="16">
                  <c:v>-0.52001019999999587</c:v>
                </c:pt>
                <c:pt idx="17">
                  <c:v>1.3119459999999998</c:v>
                </c:pt>
                <c:pt idx="18">
                  <c:v>2.5140370000000001</c:v>
                </c:pt>
                <c:pt idx="19">
                  <c:v>2.6645610000000155</c:v>
                </c:pt>
                <c:pt idx="20">
                  <c:v>1.936941</c:v>
                </c:pt>
                <c:pt idx="21">
                  <c:v>3.1496059999999977</c:v>
                </c:pt>
              </c:numCache>
            </c:numRef>
          </c:val>
          <c:extLst xmlns:c16r2="http://schemas.microsoft.com/office/drawing/2015/06/chart">
            <c:ext xmlns:c16="http://schemas.microsoft.com/office/drawing/2014/chart" uri="{C3380CC4-5D6E-409C-BE32-E72D297353CC}">
              <c16:uniqueId val="{00000002-E6E5-3141-8AB4-82C3DAD7E801}"/>
            </c:ext>
          </c:extLst>
        </c:ser>
        <c:ser>
          <c:idx val="3"/>
          <c:order val="3"/>
          <c:tx>
            <c:v>HUN</c:v>
          </c:tx>
          <c:spPr>
            <a:ln w="50800" cap="rnd">
              <a:solidFill>
                <a:srgbClr val="92D050"/>
              </a:solidFill>
              <a:round/>
            </a:ln>
            <a:effectLst/>
          </c:spPr>
          <c:marker>
            <c:symbol val="none"/>
          </c:marker>
          <c:val>
            <c:numRef>
              <c:f>'Inflace V4'!$P$5:$P$26</c:f>
              <c:numCache>
                <c:formatCode>0.00</c:formatCode>
                <c:ptCount val="22"/>
                <c:pt idx="0">
                  <c:v>9.8036080000000005</c:v>
                </c:pt>
                <c:pt idx="1">
                  <c:v>9.1168090000000017</c:v>
                </c:pt>
                <c:pt idx="2">
                  <c:v>5.2654480000000001</c:v>
                </c:pt>
                <c:pt idx="3">
                  <c:v>4.6610169999999673</c:v>
                </c:pt>
                <c:pt idx="4">
                  <c:v>6.7443470000000003</c:v>
                </c:pt>
                <c:pt idx="5">
                  <c:v>3.5615169999999998</c:v>
                </c:pt>
                <c:pt idx="6">
                  <c:v>3.930326</c:v>
                </c:pt>
                <c:pt idx="7">
                  <c:v>7.9587450000000004</c:v>
                </c:pt>
                <c:pt idx="8">
                  <c:v>6.0425119999999755</c:v>
                </c:pt>
                <c:pt idx="9">
                  <c:v>4.2117120000000003</c:v>
                </c:pt>
                <c:pt idx="10">
                  <c:v>4.8555579999999745</c:v>
                </c:pt>
                <c:pt idx="11">
                  <c:v>3.9299210000000002</c:v>
                </c:pt>
                <c:pt idx="12">
                  <c:v>5.6521449999999627</c:v>
                </c:pt>
                <c:pt idx="13">
                  <c:v>1.733199999999991</c:v>
                </c:pt>
                <c:pt idx="14">
                  <c:v>-0.22756630000000044</c:v>
                </c:pt>
                <c:pt idx="15">
                  <c:v>-6.164468E-2</c:v>
                </c:pt>
                <c:pt idx="16">
                  <c:v>0.39476930000000032</c:v>
                </c:pt>
                <c:pt idx="17">
                  <c:v>2.3482429999999792</c:v>
                </c:pt>
                <c:pt idx="18">
                  <c:v>2.8502479999999784</c:v>
                </c:pt>
                <c:pt idx="19">
                  <c:v>3.3385859999999967</c:v>
                </c:pt>
                <c:pt idx="20">
                  <c:v>3.3267439999999828</c:v>
                </c:pt>
                <c:pt idx="21">
                  <c:v>5.1109649999999673</c:v>
                </c:pt>
              </c:numCache>
            </c:numRef>
          </c:val>
          <c:extLst xmlns:c16r2="http://schemas.microsoft.com/office/drawing/2015/06/chart">
            <c:ext xmlns:c16="http://schemas.microsoft.com/office/drawing/2014/chart" uri="{C3380CC4-5D6E-409C-BE32-E72D297353CC}">
              <c16:uniqueId val="{00000003-E6E5-3141-8AB4-82C3DAD7E801}"/>
            </c:ext>
          </c:extLst>
        </c:ser>
        <c:marker val="1"/>
        <c:axId val="130792832"/>
        <c:axId val="130799104"/>
      </c:lineChart>
      <c:catAx>
        <c:axId val="130792832"/>
        <c:scaling>
          <c:orientation val="minMax"/>
        </c:scaling>
        <c:axPos val="b"/>
        <c:title>
          <c:tx>
            <c:rich>
              <a:bodyPr rot="0" vert="horz"/>
              <a:lstStyle/>
              <a:p>
                <a:pPr>
                  <a:defRPr/>
                </a:pPr>
                <a:r>
                  <a:rPr lang="cs-CZ"/>
                  <a:t>Rok </a:t>
                </a:r>
              </a:p>
            </c:rich>
          </c:tx>
          <c:spPr>
            <a:noFill/>
            <a:ln>
              <a:noFill/>
            </a:ln>
            <a:effectLst/>
          </c:spPr>
        </c:title>
        <c:numFmt formatCode="General" sourceLinked="1"/>
        <c:majorTickMark val="none"/>
        <c:tickLblPos val="low"/>
        <c:spPr>
          <a:noFill/>
          <a:ln w="9525" cap="flat" cmpd="sng" algn="ctr">
            <a:solidFill>
              <a:schemeClr val="tx1">
                <a:lumMod val="15000"/>
                <a:lumOff val="85000"/>
              </a:schemeClr>
            </a:solidFill>
            <a:round/>
          </a:ln>
          <a:effectLst/>
        </c:spPr>
        <c:txPr>
          <a:bodyPr rot="-60000000" vert="horz"/>
          <a:lstStyle/>
          <a:p>
            <a:pPr>
              <a:defRPr/>
            </a:pPr>
            <a:endParaRPr lang="cs-CZ"/>
          </a:p>
        </c:txPr>
        <c:crossAx val="130799104"/>
        <c:crosses val="autoZero"/>
        <c:auto val="1"/>
        <c:lblAlgn val="ctr"/>
        <c:lblOffset val="100"/>
      </c:catAx>
      <c:valAx>
        <c:axId val="130799104"/>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cs-CZ"/>
                  <a:t>%</a:t>
                </a:r>
              </a:p>
            </c:rich>
          </c:tx>
          <c:spPr>
            <a:noFill/>
            <a:ln>
              <a:noFill/>
            </a:ln>
            <a:effectLst/>
          </c:spPr>
        </c:title>
        <c:numFmt formatCode="0.00" sourceLinked="1"/>
        <c:majorTickMark val="none"/>
        <c:tickLblPos val="nextTo"/>
        <c:spPr>
          <a:noFill/>
          <a:ln>
            <a:noFill/>
          </a:ln>
          <a:effectLst/>
        </c:spPr>
        <c:txPr>
          <a:bodyPr rot="-60000000" vert="horz"/>
          <a:lstStyle/>
          <a:p>
            <a:pPr>
              <a:defRPr/>
            </a:pPr>
            <a:endParaRPr lang="cs-CZ"/>
          </a:p>
        </c:txPr>
        <c:crossAx val="130792832"/>
        <c:crosses val="autoZero"/>
        <c:crossBetween val="midCat"/>
      </c:valAx>
      <c:spPr>
        <a:noFill/>
        <a:ln>
          <a:noFill/>
        </a:ln>
        <a:effectLst/>
      </c:spPr>
    </c:plotArea>
    <c:legend>
      <c:legendPos val="r"/>
      <c:spPr>
        <a:noFill/>
        <a:ln>
          <a:noFill/>
        </a:ln>
        <a:effectLst/>
      </c:spPr>
      <c:txPr>
        <a:bodyPr rot="0" vert="horz"/>
        <a:lstStyle/>
        <a:p>
          <a:pPr>
            <a:defRPr/>
          </a:pPr>
          <a:endParaRPr lang="cs-CZ"/>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aseline="0"/>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v>CZE</c:v>
          </c:tx>
          <c:spPr>
            <a:ln w="63500" cap="rnd">
              <a:solidFill>
                <a:srgbClr val="00B0F0"/>
              </a:solidFill>
              <a:round/>
            </a:ln>
            <a:effectLst/>
          </c:spPr>
          <c:marker>
            <c:symbol val="none"/>
          </c:marker>
          <c:cat>
            <c:numRef>
              <c:f>'Bytová výstavba - V4'!$C$5:$C$26</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'Bytová výstavba - V4'!$D$5:$D$26</c:f>
              <c:numCache>
                <c:formatCode>#,##0</c:formatCode>
                <c:ptCount val="22"/>
                <c:pt idx="0">
                  <c:v>25207</c:v>
                </c:pt>
                <c:pt idx="1">
                  <c:v>24758</c:v>
                </c:pt>
                <c:pt idx="2">
                  <c:v>27291</c:v>
                </c:pt>
                <c:pt idx="3">
                  <c:v>27127</c:v>
                </c:pt>
                <c:pt idx="4">
                  <c:v>32268</c:v>
                </c:pt>
                <c:pt idx="5">
                  <c:v>32863</c:v>
                </c:pt>
                <c:pt idx="6">
                  <c:v>30190</c:v>
                </c:pt>
                <c:pt idx="7">
                  <c:v>41649</c:v>
                </c:pt>
                <c:pt idx="8">
                  <c:v>38380</c:v>
                </c:pt>
                <c:pt idx="9">
                  <c:v>38473</c:v>
                </c:pt>
                <c:pt idx="10">
                  <c:v>36442</c:v>
                </c:pt>
                <c:pt idx="11">
                  <c:v>28630</c:v>
                </c:pt>
                <c:pt idx="12">
                  <c:v>29467</c:v>
                </c:pt>
                <c:pt idx="13">
                  <c:v>25238</c:v>
                </c:pt>
                <c:pt idx="14">
                  <c:v>23954</c:v>
                </c:pt>
                <c:pt idx="15">
                  <c:v>25095</c:v>
                </c:pt>
                <c:pt idx="16">
                  <c:v>27322</c:v>
                </c:pt>
                <c:pt idx="17">
                  <c:v>28569</c:v>
                </c:pt>
                <c:pt idx="18">
                  <c:v>33850</c:v>
                </c:pt>
                <c:pt idx="19">
                  <c:v>36406</c:v>
                </c:pt>
                <c:pt idx="20">
                  <c:v>34412</c:v>
                </c:pt>
                <c:pt idx="21">
                  <c:v>34581</c:v>
                </c:pt>
              </c:numCache>
            </c:numRef>
          </c:val>
          <c:extLst xmlns:c16r2="http://schemas.microsoft.com/office/drawing/2015/06/chart">
            <c:ext xmlns:c16="http://schemas.microsoft.com/office/drawing/2014/chart" uri="{C3380CC4-5D6E-409C-BE32-E72D297353CC}">
              <c16:uniqueId val="{00000000-6636-4441-8598-E28E207B5541}"/>
            </c:ext>
          </c:extLst>
        </c:ser>
        <c:ser>
          <c:idx val="1"/>
          <c:order val="1"/>
          <c:tx>
            <c:v>SVK</c:v>
          </c:tx>
          <c:spPr>
            <a:ln w="63500" cap="rnd">
              <a:solidFill>
                <a:srgbClr val="FFFF00"/>
              </a:solidFill>
              <a:round/>
            </a:ln>
            <a:effectLst/>
          </c:spPr>
          <c:marker>
            <c:symbol val="none"/>
          </c:marker>
          <c:val>
            <c:numRef>
              <c:f>'Bytová výstavba - V4'!$I$5:$I$26</c:f>
              <c:numCache>
                <c:formatCode>#,##0</c:formatCode>
                <c:ptCount val="22"/>
                <c:pt idx="0">
                  <c:v>12931</c:v>
                </c:pt>
                <c:pt idx="1">
                  <c:v>10321</c:v>
                </c:pt>
                <c:pt idx="2">
                  <c:v>14213</c:v>
                </c:pt>
                <c:pt idx="3">
                  <c:v>13980</c:v>
                </c:pt>
                <c:pt idx="4">
                  <c:v>12592</c:v>
                </c:pt>
                <c:pt idx="5">
                  <c:v>14863</c:v>
                </c:pt>
                <c:pt idx="6">
                  <c:v>14444</c:v>
                </c:pt>
                <c:pt idx="7">
                  <c:v>16473</c:v>
                </c:pt>
                <c:pt idx="8">
                  <c:v>17184</c:v>
                </c:pt>
                <c:pt idx="9">
                  <c:v>18834</c:v>
                </c:pt>
                <c:pt idx="10">
                  <c:v>17076</c:v>
                </c:pt>
                <c:pt idx="11">
                  <c:v>14608</c:v>
                </c:pt>
                <c:pt idx="12">
                  <c:v>15255</c:v>
                </c:pt>
                <c:pt idx="13">
                  <c:v>15100</c:v>
                </c:pt>
                <c:pt idx="14">
                  <c:v>14985</c:v>
                </c:pt>
                <c:pt idx="15">
                  <c:v>15471</c:v>
                </c:pt>
                <c:pt idx="16">
                  <c:v>15672</c:v>
                </c:pt>
                <c:pt idx="17">
                  <c:v>16946</c:v>
                </c:pt>
                <c:pt idx="18">
                  <c:v>19071</c:v>
                </c:pt>
                <c:pt idx="19">
                  <c:v>20171</c:v>
                </c:pt>
                <c:pt idx="20">
                  <c:v>21490</c:v>
                </c:pt>
                <c:pt idx="21">
                  <c:v>20649</c:v>
                </c:pt>
              </c:numCache>
            </c:numRef>
          </c:val>
          <c:extLst xmlns:c16r2="http://schemas.microsoft.com/office/drawing/2015/06/chart">
            <c:ext xmlns:c16="http://schemas.microsoft.com/office/drawing/2014/chart" uri="{C3380CC4-5D6E-409C-BE32-E72D297353CC}">
              <c16:uniqueId val="{00000001-6636-4441-8598-E28E207B5541}"/>
            </c:ext>
          </c:extLst>
        </c:ser>
        <c:ser>
          <c:idx val="2"/>
          <c:order val="2"/>
          <c:tx>
            <c:v>PLN</c:v>
          </c:tx>
          <c:spPr>
            <a:ln w="63500" cap="rnd">
              <a:solidFill>
                <a:srgbClr val="FF0000"/>
              </a:solidFill>
              <a:round/>
            </a:ln>
            <a:effectLst/>
          </c:spPr>
          <c:marker>
            <c:symbol val="none"/>
          </c:marker>
          <c:val>
            <c:numRef>
              <c:f>'Bytová výstavba - V4'!$N$5:$N$26</c:f>
              <c:numCache>
                <c:formatCode>#,##0</c:formatCode>
                <c:ptCount val="22"/>
                <c:pt idx="0">
                  <c:v>87789</c:v>
                </c:pt>
                <c:pt idx="1">
                  <c:v>105967</c:v>
                </c:pt>
                <c:pt idx="2">
                  <c:v>97595</c:v>
                </c:pt>
                <c:pt idx="3">
                  <c:v>162686</c:v>
                </c:pt>
                <c:pt idx="4">
                  <c:v>108117</c:v>
                </c:pt>
                <c:pt idx="5">
                  <c:v>114066</c:v>
                </c:pt>
                <c:pt idx="6">
                  <c:v>115353</c:v>
                </c:pt>
                <c:pt idx="7">
                  <c:v>133698</c:v>
                </c:pt>
                <c:pt idx="8">
                  <c:v>165189</c:v>
                </c:pt>
                <c:pt idx="9">
                  <c:v>160002</c:v>
                </c:pt>
                <c:pt idx="10">
                  <c:v>135835</c:v>
                </c:pt>
                <c:pt idx="11">
                  <c:v>130954</c:v>
                </c:pt>
                <c:pt idx="12">
                  <c:v>152904</c:v>
                </c:pt>
                <c:pt idx="13">
                  <c:v>145136</c:v>
                </c:pt>
                <c:pt idx="14">
                  <c:v>143166</c:v>
                </c:pt>
                <c:pt idx="15">
                  <c:v>147711</c:v>
                </c:pt>
                <c:pt idx="16">
                  <c:v>163325</c:v>
                </c:pt>
                <c:pt idx="17">
                  <c:v>178342</c:v>
                </c:pt>
                <c:pt idx="18">
                  <c:v>185063</c:v>
                </c:pt>
                <c:pt idx="19">
                  <c:v>207425</c:v>
                </c:pt>
                <c:pt idx="20">
                  <c:v>220831</c:v>
                </c:pt>
                <c:pt idx="21">
                  <c:v>234680</c:v>
                </c:pt>
              </c:numCache>
            </c:numRef>
          </c:val>
          <c:extLst xmlns:c16r2="http://schemas.microsoft.com/office/drawing/2015/06/chart">
            <c:ext xmlns:c16="http://schemas.microsoft.com/office/drawing/2014/chart" uri="{C3380CC4-5D6E-409C-BE32-E72D297353CC}">
              <c16:uniqueId val="{00000002-6636-4441-8598-E28E207B5541}"/>
            </c:ext>
          </c:extLst>
        </c:ser>
        <c:ser>
          <c:idx val="3"/>
          <c:order val="3"/>
          <c:tx>
            <c:v>hun</c:v>
          </c:tx>
          <c:spPr>
            <a:ln w="63500" cap="rnd">
              <a:solidFill>
                <a:srgbClr val="92D050"/>
              </a:solidFill>
              <a:round/>
            </a:ln>
            <a:effectLst/>
          </c:spPr>
          <c:marker>
            <c:symbol val="none"/>
          </c:marker>
          <c:val>
            <c:numRef>
              <c:f>'Bytová výstavba - V4'!$S$5:$S$26</c:f>
              <c:numCache>
                <c:formatCode>#,##0</c:formatCode>
                <c:ptCount val="22"/>
                <c:pt idx="0">
                  <c:v>21583</c:v>
                </c:pt>
                <c:pt idx="1">
                  <c:v>28054</c:v>
                </c:pt>
                <c:pt idx="2">
                  <c:v>31511</c:v>
                </c:pt>
                <c:pt idx="3">
                  <c:v>35543</c:v>
                </c:pt>
                <c:pt idx="4">
                  <c:v>43913</c:v>
                </c:pt>
                <c:pt idx="5">
                  <c:v>41084</c:v>
                </c:pt>
                <c:pt idx="6">
                  <c:v>33864</c:v>
                </c:pt>
                <c:pt idx="7">
                  <c:v>36159</c:v>
                </c:pt>
                <c:pt idx="8">
                  <c:v>36075</c:v>
                </c:pt>
                <c:pt idx="9">
                  <c:v>31994</c:v>
                </c:pt>
                <c:pt idx="10">
                  <c:v>20823</c:v>
                </c:pt>
                <c:pt idx="11">
                  <c:v>12655</c:v>
                </c:pt>
                <c:pt idx="12">
                  <c:v>10560</c:v>
                </c:pt>
                <c:pt idx="13">
                  <c:v>7293</c:v>
                </c:pt>
                <c:pt idx="14">
                  <c:v>8358</c:v>
                </c:pt>
                <c:pt idx="15">
                  <c:v>7612</c:v>
                </c:pt>
                <c:pt idx="16">
                  <c:v>9994</c:v>
                </c:pt>
                <c:pt idx="17">
                  <c:v>14389</c:v>
                </c:pt>
                <c:pt idx="18">
                  <c:v>17681</c:v>
                </c:pt>
                <c:pt idx="19">
                  <c:v>21127</c:v>
                </c:pt>
                <c:pt idx="20">
                  <c:v>28208</c:v>
                </c:pt>
                <c:pt idx="21">
                  <c:v>19898</c:v>
                </c:pt>
              </c:numCache>
            </c:numRef>
          </c:val>
          <c:extLst xmlns:c16r2="http://schemas.microsoft.com/office/drawing/2015/06/chart">
            <c:ext xmlns:c16="http://schemas.microsoft.com/office/drawing/2014/chart" uri="{C3380CC4-5D6E-409C-BE32-E72D297353CC}">
              <c16:uniqueId val="{00000003-6636-4441-8598-E28E207B5541}"/>
            </c:ext>
          </c:extLst>
        </c:ser>
        <c:marker val="1"/>
        <c:axId val="130856448"/>
        <c:axId val="130858368"/>
      </c:lineChart>
      <c:catAx>
        <c:axId val="130856448"/>
        <c:scaling>
          <c:orientation val="minMax"/>
        </c:scaling>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cs-CZ">
                    <a:solidFill>
                      <a:schemeClr val="tx1"/>
                    </a:solidFill>
                  </a:rPr>
                  <a:t>roky</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crossAx val="130858368"/>
        <c:crosses val="autoZero"/>
        <c:auto val="1"/>
        <c:lblAlgn val="ctr"/>
        <c:lblOffset val="100"/>
      </c:catAx>
      <c:valAx>
        <c:axId val="1308583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cs-CZ" sz="1200">
                    <a:solidFill>
                      <a:schemeClr val="tx1"/>
                    </a:solidFill>
                  </a:rPr>
                  <a:t>Počet</a:t>
                </a:r>
                <a:r>
                  <a:rPr lang="cs-CZ" sz="1200" baseline="0">
                    <a:solidFill>
                      <a:schemeClr val="tx1"/>
                    </a:solidFill>
                  </a:rPr>
                  <a:t> bytů </a:t>
                </a:r>
                <a:endParaRPr lang="cs-CZ" sz="1200">
                  <a:solidFill>
                    <a:schemeClr val="tx1"/>
                  </a:solidFill>
                </a:endParaRP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crossAx val="13085644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cs-CZ"/>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Pages>
  <Words>3048</Words>
  <Characters>17984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Uhman</dc:creator>
  <cp:lastModifiedBy>Uhman</cp:lastModifiedBy>
  <cp:revision>34</cp:revision>
  <dcterms:created xsi:type="dcterms:W3CDTF">2023-01-11T13:31:00Z</dcterms:created>
  <dcterms:modified xsi:type="dcterms:W3CDTF">2023-01-14T18:37:00Z</dcterms:modified>
</cp:coreProperties>
</file>